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R4-2213679</w:t>
      </w:r>
      <w:bookmarkStart w:id="10" w:name="_GoBack"/>
      <w:bookmarkEnd w:id="10"/>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10</w:t>
      </w:r>
      <w:r>
        <w:rPr>
          <w:rFonts w:ascii="Arial" w:hAnsi="Arial" w:eastAsia="Batang"/>
          <w:b/>
          <w:lang w:eastAsia="zh-CN"/>
        </w:rPr>
        <w:t>.</w:t>
      </w:r>
      <w:r>
        <w:rPr>
          <w:rFonts w:hint="eastAsia" w:ascii="Arial" w:hAnsi="Arial" w:eastAsia="Batang"/>
          <w:b/>
          <w:lang w:val="en-US" w:eastAsia="zh-CN"/>
        </w:rPr>
        <w:t>19</w:t>
      </w:r>
      <w:r>
        <w:rPr>
          <w:rFonts w:ascii="Arial" w:hAnsi="Arial" w:eastAsia="Batang"/>
          <w:b/>
          <w:lang w:eastAsia="zh-CN"/>
        </w:rPr>
        <w:t>.</w:t>
      </w:r>
      <w:r>
        <w:rPr>
          <w:rFonts w:hint="eastAsia" w:ascii="Arial" w:hAnsi="Arial" w:eastAsia="Batang"/>
          <w:b/>
          <w:lang w:val="en-US" w:eastAsia="zh-CN"/>
        </w:rPr>
        <w:t>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system parameter for APT600MHz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default" w:cs="Times New Roman"/>
          <w:kern w:val="2"/>
          <w:sz w:val="21"/>
          <w:szCs w:val="22"/>
          <w:highlight w:val="none"/>
          <w:lang w:val="en-US" w:eastAsia="zh-CN" w:bidi="ar-SA"/>
        </w:rPr>
      </w:pPr>
      <w:r>
        <w:rPr>
          <w:rFonts w:hint="eastAsia"/>
          <w:bCs/>
          <w:kern w:val="0"/>
          <w:sz w:val="21"/>
          <w:szCs w:val="21"/>
          <w:highlight w:val="none"/>
          <w:lang w:val="en-US" w:eastAsia="zh-CN"/>
        </w:rPr>
        <w:t xml:space="preserve">The topic of APT 600MHz have already been extensively discussed during R17 time phase. At that time, it was a SID, which mainly focus on </w:t>
      </w:r>
      <w:r>
        <w:rPr>
          <w:rFonts w:eastAsia="宋体"/>
          <w:lang w:eastAsia="zh-CN"/>
        </w:rPr>
        <w:t>feasibility analyses for options B1, B2 and B2a</w:t>
      </w:r>
      <w:r>
        <w:rPr>
          <w:rFonts w:hint="eastAsia"/>
          <w:lang w:val="en-US" w:eastAsia="zh-CN"/>
        </w:rPr>
        <w:t xml:space="preserve">, where the </w:t>
      </w:r>
      <w:r>
        <w:rPr>
          <w:rFonts w:eastAsia="宋体"/>
          <w:lang w:eastAsia="zh-CN"/>
        </w:rPr>
        <w:t xml:space="preserve">feasibility </w:t>
      </w:r>
      <w:r>
        <w:rPr>
          <w:rFonts w:hint="eastAsia"/>
          <w:lang w:val="en-US" w:eastAsia="zh-CN"/>
        </w:rPr>
        <w:t>studies and conclusions can be found in the TR38.860[1].</w:t>
      </w:r>
      <w:r>
        <w:rPr>
          <w:rFonts w:eastAsia="宋体"/>
          <w:lang w:eastAsia="zh-CN"/>
        </w:rPr>
        <w:t xml:space="preserve"> </w:t>
      </w:r>
      <w:r>
        <w:rPr>
          <w:rFonts w:hint="eastAsia" w:eastAsia="宋体"/>
          <w:lang w:val="en-US" w:eastAsia="zh-CN"/>
        </w:rPr>
        <w:t xml:space="preserve">In this contribution, we want to share some initial views </w:t>
      </w:r>
      <w:r>
        <w:rPr>
          <w:rFonts w:hint="eastAsia"/>
          <w:lang w:val="en-US" w:eastAsia="zh-CN"/>
        </w:rPr>
        <w:t>from system parameter perspective</w:t>
      </w:r>
      <w:r>
        <w:rPr>
          <w:rFonts w:hint="eastAsia" w:eastAsia="宋体"/>
          <w:lang w:val="en-US" w:eastAsia="zh-CN"/>
        </w:rPr>
        <w:t>.</w:t>
      </w:r>
    </w:p>
    <w:p>
      <w:pPr>
        <w:numPr>
          <w:ilvl w:val="0"/>
          <w:numId w:val="2"/>
        </w:numPr>
        <w:spacing w:after="0"/>
        <w:rPr>
          <w:bCs/>
          <w:lang w:eastAsia="ja-JP"/>
        </w:rPr>
      </w:pPr>
      <w:bookmarkStart w:id="1" w:name="OLE_LINK35"/>
      <w:r>
        <w:rPr>
          <w:bCs/>
          <w:lang w:eastAsia="ja-JP"/>
        </w:rPr>
        <w:t xml:space="preserve">Specify a new NR FDD operating band to include band numbering and core requirements to operate in APT region by considering that: </w:t>
      </w:r>
    </w:p>
    <w:p>
      <w:pPr>
        <w:numPr>
          <w:ilvl w:val="1"/>
          <w:numId w:val="2"/>
        </w:numPr>
        <w:spacing w:after="0"/>
        <w:rPr>
          <w:bCs/>
          <w:lang w:eastAsia="ja-JP"/>
        </w:rPr>
      </w:pPr>
      <w:r>
        <w:rPr>
          <w:bCs/>
          <w:lang w:eastAsia="ja-JP"/>
        </w:rPr>
        <w:t>UE transmit: 663 - 703 MHz, BS transmit: 612 MHz – 652 MHz,</w:t>
      </w:r>
    </w:p>
    <w:p>
      <w:pPr>
        <w:numPr>
          <w:ilvl w:val="1"/>
          <w:numId w:val="2"/>
        </w:numPr>
        <w:spacing w:after="0"/>
        <w:rPr>
          <w:bCs/>
          <w:lang w:eastAsia="ja-JP"/>
        </w:rPr>
      </w:pPr>
      <w:r>
        <w:rPr>
          <w:bCs/>
          <w:lang w:eastAsia="ja-JP"/>
        </w:rPr>
        <w:t>To support the following channel bandwidths and SCS as in the Table 2 below</w:t>
      </w:r>
    </w:p>
    <w:p>
      <w:pPr>
        <w:numPr>
          <w:ilvl w:val="1"/>
          <w:numId w:val="2"/>
        </w:numPr>
        <w:spacing w:after="0"/>
        <w:rPr>
          <w:bCs/>
          <w:highlight w:val="none"/>
          <w:lang w:eastAsia="ja-JP"/>
        </w:rPr>
      </w:pPr>
      <w:r>
        <w:rPr>
          <w:bCs/>
          <w:highlight w:val="none"/>
          <w:lang w:eastAsia="ja-JP"/>
        </w:rPr>
        <w:t>UL channel bandwidth is limited to 20 MHz to limit the MSD as was the case with n71</w:t>
      </w:r>
    </w:p>
    <w:p>
      <w:pPr>
        <w:numPr>
          <w:ilvl w:val="1"/>
          <w:numId w:val="2"/>
        </w:numPr>
        <w:spacing w:after="0"/>
        <w:rPr>
          <w:bCs/>
          <w:lang w:eastAsia="ja-JP"/>
        </w:rPr>
      </w:pPr>
      <w:r>
        <w:rPr>
          <w:bCs/>
          <w:lang w:eastAsia="ja-JP"/>
        </w:rPr>
        <w:t>The use of UE power class 3 (23dBm).</w:t>
      </w:r>
    </w:p>
    <w:p>
      <w:pPr>
        <w:numPr>
          <w:ilvl w:val="1"/>
          <w:numId w:val="2"/>
        </w:numPr>
        <w:spacing w:after="0"/>
        <w:rPr>
          <w:bCs/>
          <w:lang w:eastAsia="ja-JP"/>
        </w:rPr>
      </w:pPr>
    </w:p>
    <w:p>
      <w:pPr>
        <w:pStyle w:val="45"/>
      </w:pPr>
      <w:r>
        <w:t>Table 2: Channel bandwidth and SCS parameters</w:t>
      </w:r>
    </w:p>
    <w:tbl>
      <w:tblPr>
        <w:tblStyle w:val="24"/>
        <w:tblW w:w="5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709"/>
        <w:gridCol w:w="709"/>
        <w:gridCol w:w="713"/>
        <w:gridCol w:w="709"/>
        <w:gridCol w:w="567"/>
        <w:gridCol w:w="709"/>
        <w:gridCol w:w="69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blHeader/>
          <w:jc w:val="center"/>
        </w:trPr>
        <w:tc>
          <w:tcPr>
            <w:tcW w:w="850" w:type="dxa"/>
            <w:shd w:val="clear" w:color="auto" w:fill="auto"/>
            <w:vAlign w:val="center"/>
          </w:tcPr>
          <w:p>
            <w:pPr>
              <w:pStyle w:val="35"/>
            </w:pPr>
            <w:r>
              <w:t>SCS</w:t>
            </w:r>
            <w:r>
              <w:rPr>
                <w:rFonts w:hint="eastAsia" w:eastAsia="游明朝"/>
                <w:lang w:eastAsia="zh-CN"/>
              </w:rPr>
              <w:t xml:space="preserve"> </w:t>
            </w:r>
            <w:r>
              <w:rPr>
                <w:rFonts w:eastAsia="游明朝"/>
                <w:lang w:eastAsia="zh-CN"/>
              </w:rPr>
              <w:t>(</w:t>
            </w:r>
            <w:r>
              <w:t>kHz)</w:t>
            </w:r>
          </w:p>
        </w:tc>
        <w:tc>
          <w:tcPr>
            <w:tcW w:w="4815" w:type="dxa"/>
            <w:gridSpan w:val="7"/>
            <w:shd w:val="clear" w:color="auto" w:fill="auto"/>
          </w:tcPr>
          <w:p>
            <w:pPr>
              <w:pStyle w:val="35"/>
            </w:pP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36"/>
              <w:rPr>
                <w:rFonts w:eastAsia="游明朝"/>
              </w:rPr>
            </w:pPr>
            <w:r>
              <w:t>15</w:t>
            </w:r>
          </w:p>
        </w:tc>
        <w:tc>
          <w:tcPr>
            <w:tcW w:w="709" w:type="dxa"/>
            <w:shd w:val="clear" w:color="auto" w:fill="auto"/>
          </w:tcPr>
          <w:p>
            <w:pPr>
              <w:pStyle w:val="36"/>
              <w:rPr>
                <w:rFonts w:eastAsia="游明朝"/>
              </w:rPr>
            </w:pPr>
            <w:r>
              <w:t>5</w:t>
            </w:r>
          </w:p>
        </w:tc>
        <w:tc>
          <w:tcPr>
            <w:tcW w:w="709" w:type="dxa"/>
            <w:shd w:val="clear" w:color="auto" w:fill="auto"/>
            <w:vAlign w:val="center"/>
          </w:tcPr>
          <w:p>
            <w:pPr>
              <w:pStyle w:val="36"/>
              <w:rPr>
                <w:rFonts w:eastAsia="游明朝"/>
              </w:rPr>
            </w:pPr>
            <w:r>
              <w:t>10</w:t>
            </w:r>
          </w:p>
        </w:tc>
        <w:tc>
          <w:tcPr>
            <w:tcW w:w="713" w:type="dxa"/>
            <w:shd w:val="clear" w:color="auto" w:fill="auto"/>
            <w:vAlign w:val="center"/>
          </w:tcPr>
          <w:p>
            <w:pPr>
              <w:pStyle w:val="36"/>
              <w:rPr>
                <w:rFonts w:eastAsia="游明朝"/>
              </w:rPr>
            </w:pPr>
            <w:r>
              <w:t>15</w:t>
            </w:r>
          </w:p>
        </w:tc>
        <w:tc>
          <w:tcPr>
            <w:tcW w:w="709" w:type="dxa"/>
            <w:shd w:val="clear" w:color="auto" w:fill="auto"/>
            <w:vAlign w:val="center"/>
          </w:tcPr>
          <w:p>
            <w:pPr>
              <w:pStyle w:val="36"/>
              <w:rPr>
                <w:rFonts w:eastAsia="游明朝"/>
              </w:rPr>
            </w:pPr>
            <w:r>
              <w:t>20</w:t>
            </w:r>
          </w:p>
        </w:tc>
        <w:tc>
          <w:tcPr>
            <w:tcW w:w="567" w:type="dxa"/>
            <w:shd w:val="clear" w:color="auto" w:fill="auto"/>
          </w:tcPr>
          <w:p>
            <w:pPr>
              <w:pStyle w:val="36"/>
              <w:rPr>
                <w:rFonts w:eastAsia="游明朝"/>
              </w:rPr>
            </w:pPr>
            <w:r>
              <w:t>25</w:t>
            </w:r>
          </w:p>
        </w:tc>
        <w:tc>
          <w:tcPr>
            <w:tcW w:w="709" w:type="dxa"/>
            <w:shd w:val="clear" w:color="auto" w:fill="auto"/>
          </w:tcPr>
          <w:p>
            <w:pPr>
              <w:pStyle w:val="36"/>
              <w:rPr>
                <w:rFonts w:eastAsia="游明朝"/>
              </w:rPr>
            </w:pPr>
            <w:r>
              <w:t>30</w:t>
            </w:r>
          </w:p>
        </w:tc>
        <w:tc>
          <w:tcPr>
            <w:tcW w:w="708" w:type="dxa"/>
            <w:gridSpan w:val="2"/>
            <w:shd w:val="clear" w:color="auto" w:fill="auto"/>
          </w:tcPr>
          <w:p>
            <w:pPr>
              <w:pStyle w:val="36"/>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36"/>
              <w:rPr>
                <w:rFonts w:eastAsia="游明朝"/>
              </w:rPr>
            </w:pPr>
            <w:r>
              <w:t>30</w:t>
            </w:r>
          </w:p>
        </w:tc>
        <w:tc>
          <w:tcPr>
            <w:tcW w:w="709" w:type="dxa"/>
            <w:shd w:val="clear" w:color="auto" w:fill="auto"/>
          </w:tcPr>
          <w:p>
            <w:pPr>
              <w:pStyle w:val="36"/>
              <w:rPr>
                <w:rFonts w:eastAsia="游明朝"/>
              </w:rPr>
            </w:pPr>
          </w:p>
        </w:tc>
        <w:tc>
          <w:tcPr>
            <w:tcW w:w="709" w:type="dxa"/>
            <w:shd w:val="clear" w:color="auto" w:fill="auto"/>
          </w:tcPr>
          <w:p>
            <w:pPr>
              <w:pStyle w:val="36"/>
              <w:rPr>
                <w:rFonts w:eastAsia="游明朝"/>
              </w:rPr>
            </w:pPr>
            <w:r>
              <w:t>10</w:t>
            </w:r>
          </w:p>
        </w:tc>
        <w:tc>
          <w:tcPr>
            <w:tcW w:w="713" w:type="dxa"/>
            <w:shd w:val="clear" w:color="auto" w:fill="auto"/>
            <w:vAlign w:val="center"/>
          </w:tcPr>
          <w:p>
            <w:pPr>
              <w:pStyle w:val="36"/>
              <w:rPr>
                <w:rFonts w:eastAsia="游明朝"/>
              </w:rPr>
            </w:pPr>
            <w:r>
              <w:t>15</w:t>
            </w:r>
          </w:p>
        </w:tc>
        <w:tc>
          <w:tcPr>
            <w:tcW w:w="709" w:type="dxa"/>
            <w:shd w:val="clear" w:color="auto" w:fill="auto"/>
            <w:vAlign w:val="center"/>
          </w:tcPr>
          <w:p>
            <w:pPr>
              <w:pStyle w:val="36"/>
              <w:rPr>
                <w:rFonts w:eastAsia="游明朝"/>
              </w:rPr>
            </w:pPr>
            <w:r>
              <w:t>20</w:t>
            </w:r>
          </w:p>
        </w:tc>
        <w:tc>
          <w:tcPr>
            <w:tcW w:w="567" w:type="dxa"/>
            <w:shd w:val="clear" w:color="auto" w:fill="auto"/>
          </w:tcPr>
          <w:p>
            <w:pPr>
              <w:pStyle w:val="36"/>
              <w:rPr>
                <w:rFonts w:eastAsia="游明朝"/>
              </w:rPr>
            </w:pPr>
            <w:r>
              <w:t>25</w:t>
            </w:r>
          </w:p>
        </w:tc>
        <w:tc>
          <w:tcPr>
            <w:tcW w:w="709" w:type="dxa"/>
            <w:shd w:val="clear" w:color="auto" w:fill="auto"/>
          </w:tcPr>
          <w:p>
            <w:pPr>
              <w:pStyle w:val="36"/>
              <w:rPr>
                <w:rFonts w:eastAsia="游明朝"/>
              </w:rPr>
            </w:pPr>
            <w:r>
              <w:t>30</w:t>
            </w:r>
          </w:p>
        </w:tc>
        <w:tc>
          <w:tcPr>
            <w:tcW w:w="708" w:type="dxa"/>
            <w:gridSpan w:val="2"/>
            <w:shd w:val="clear" w:color="auto" w:fill="auto"/>
          </w:tcPr>
          <w:p>
            <w:pPr>
              <w:pStyle w:val="36"/>
            </w:pPr>
            <w:r>
              <w:t>35</w:t>
            </w:r>
          </w:p>
        </w:tc>
      </w:tr>
    </w:tbl>
    <w:p>
      <w:pPr>
        <w:ind w:right="-99"/>
      </w:pPr>
    </w:p>
    <w:p>
      <w:pPr>
        <w:pStyle w:val="34"/>
        <w:numPr>
          <w:ilvl w:val="0"/>
          <w:numId w:val="3"/>
        </w:numPr>
        <w:ind w:right="-99"/>
      </w:pPr>
      <w:r>
        <w:t>Develop a technical specification for the APT 600 MHz band for option B1 (as defined in table 1) for the APT region 600 MHz band with a view to developing the normative text on:</w:t>
      </w:r>
    </w:p>
    <w:p>
      <w:pPr>
        <w:numPr>
          <w:ilvl w:val="0"/>
          <w:numId w:val="4"/>
        </w:numPr>
        <w:ind w:right="-99"/>
      </w:pPr>
      <w:r>
        <w:t>Operating band, channel bandwidth and system parameters- see Table 1 and Table 2</w:t>
      </w:r>
    </w:p>
    <w:p>
      <w:pPr>
        <w:numPr>
          <w:ilvl w:val="0"/>
          <w:numId w:val="4"/>
        </w:numPr>
        <w:ind w:right="-99"/>
      </w:pPr>
      <w:r>
        <w:t>BS and UE RF core requirement taking into account potential coexistence issues</w:t>
      </w:r>
    </w:p>
    <w:p>
      <w:pPr>
        <w:numPr>
          <w:ilvl w:val="0"/>
          <w:numId w:val="4"/>
        </w:numPr>
        <w:jc w:val="both"/>
        <w:rPr>
          <w:lang w:eastAsia="zh-CN"/>
        </w:rPr>
      </w:pPr>
      <w:r>
        <w:t>RRM requirement</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4"/>
      <w:bookmarkStart w:id="3" w:name="OLE_LINK13"/>
      <w:bookmarkStart w:id="4" w:name="OLE_LINK10"/>
      <w:bookmarkStart w:id="5" w:name="OLE_LINK2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Operating bands</w:t>
      </w:r>
      <w:r>
        <w:rPr>
          <w:rFonts w:hint="eastAsia" w:ascii="Arial" w:hAnsi="Arial" w:cs="Arial"/>
          <w:sz w:val="28"/>
          <w:szCs w:val="28"/>
          <w:lang w:val="en-US" w:eastAsia="zh-CN"/>
        </w:rPr>
        <w:t xml:space="preserve"> and band numbering</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eastAsia"/>
          <w:b w:val="0"/>
          <w:bCs w:val="0"/>
          <w:i w:val="0"/>
          <w:iCs w:val="0"/>
          <w:lang w:val="en-US" w:eastAsia="zh-CN"/>
        </w:rPr>
        <w:t>As indicated in the WID objective, the frequency range and the supported channel bandwidths for the new FDD bands are shown in the following tables and band number is proposed as n105.</w:t>
      </w:r>
    </w:p>
    <w:p>
      <w:pPr>
        <w:keepNext/>
        <w:keepLines/>
        <w:pageBreakBefore w:val="0"/>
        <w:widowControl/>
        <w:suppressLineNumbers w:val="0"/>
        <w:kinsoku/>
        <w:wordWrap/>
        <w:topLinePunct w:val="0"/>
        <w:bidi w:val="0"/>
        <w:ind w:firstLine="420" w:firstLineChars="0"/>
        <w:jc w:val="center"/>
        <w:rPr>
          <w:rFonts w:hint="default"/>
          <w:b/>
          <w:bCs/>
          <w:i w:val="0"/>
          <w:iCs w:val="0"/>
          <w:u w:val="single"/>
          <w:lang w:val="en-US" w:eastAsia="zh-CN"/>
        </w:rPr>
      </w:pPr>
      <w:r>
        <w:rPr>
          <w:rFonts w:hint="eastAsia"/>
          <w:b/>
          <w:bCs/>
          <w:i w:val="0"/>
          <w:iCs w:val="0"/>
          <w:u w:val="single"/>
          <w:lang w:val="en-US" w:eastAsia="zh-CN"/>
        </w:rPr>
        <w:t>Table 2.1-1. frequency range for APT600MHz</w:t>
      </w:r>
    </w:p>
    <w:tbl>
      <w:tblPr>
        <w:tblStyle w:val="24"/>
        <w:tblW w:w="7650" w:type="dxa"/>
        <w:jc w:val="center"/>
        <w:tblLayout w:type="fixed"/>
        <w:tblCellMar>
          <w:top w:w="0" w:type="dxa"/>
          <w:left w:w="28" w:type="dxa"/>
          <w:bottom w:w="0" w:type="dxa"/>
          <w:right w:w="108" w:type="dxa"/>
        </w:tblCellMar>
      </w:tblPr>
      <w:tblGrid>
        <w:gridCol w:w="1068"/>
        <w:gridCol w:w="1226"/>
        <w:gridCol w:w="517"/>
        <w:gridCol w:w="1174"/>
        <w:gridCol w:w="1242"/>
        <w:gridCol w:w="317"/>
        <w:gridCol w:w="1200"/>
        <w:gridCol w:w="906"/>
      </w:tblGrid>
      <w:tr>
        <w:tblPrEx>
          <w:tblCellMar>
            <w:top w:w="0" w:type="dxa"/>
            <w:left w:w="28" w:type="dxa"/>
            <w:bottom w:w="0" w:type="dxa"/>
            <w:right w:w="108" w:type="dxa"/>
          </w:tblCellMar>
        </w:tblPrEx>
        <w:trPr>
          <w:jc w:val="center"/>
        </w:trPr>
        <w:tc>
          <w:tcPr>
            <w:tcW w:w="1068" w:type="dxa"/>
            <w:vMerge w:val="restart"/>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Operating Band</w:t>
            </w: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59" w:type="dxa"/>
            <w:gridSpan w:val="3"/>
            <w:tcBorders>
              <w:top w:val="single" w:color="auto" w:sz="4" w:space="0"/>
              <w:left w:val="nil"/>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Duplex Mode</w:t>
            </w:r>
          </w:p>
        </w:tc>
      </w:tr>
      <w:tr>
        <w:tblPrEx>
          <w:tblCellMar>
            <w:top w:w="0" w:type="dxa"/>
            <w:left w:w="28" w:type="dxa"/>
            <w:bottom w:w="0" w:type="dxa"/>
            <w:right w:w="108" w:type="dxa"/>
          </w:tblCellMar>
        </w:tblPrEx>
        <w:trPr>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color="auto" w:sz="4" w:space="0"/>
              <w:left w:val="nil"/>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36"/>
              <w:rPr>
                <w:rFonts w:hint="default" w:eastAsia="宋体" w:cs="Arial"/>
                <w:color w:val="0000FF"/>
                <w:lang w:val="en-US" w:eastAsia="zh-CN"/>
              </w:rPr>
            </w:pPr>
            <w:r>
              <w:rPr>
                <w:rFonts w:hint="eastAsia" w:cs="Arial"/>
                <w:color w:val="0000FF"/>
                <w:lang w:val="en-US" w:eastAsia="zh-CN"/>
              </w:rPr>
              <w:t>n105</w:t>
            </w:r>
          </w:p>
        </w:tc>
        <w:tc>
          <w:tcPr>
            <w:tcW w:w="1226" w:type="dxa"/>
            <w:tcBorders>
              <w:top w:val="single" w:color="auto" w:sz="4" w:space="0"/>
              <w:left w:val="single" w:color="auto" w:sz="4" w:space="0"/>
              <w:bottom w:val="single" w:color="auto" w:sz="4" w:space="0"/>
              <w:right w:val="nil"/>
            </w:tcBorders>
            <w:vAlign w:val="center"/>
          </w:tcPr>
          <w:p>
            <w:pPr>
              <w:pStyle w:val="95"/>
              <w:rPr>
                <w:rFonts w:cs="Arial"/>
                <w:color w:val="0000FF"/>
              </w:rPr>
            </w:pPr>
            <w:r>
              <w:rPr>
                <w:rFonts w:cs="Arial"/>
                <w:color w:val="0000FF"/>
              </w:rPr>
              <w:t>663 MHz</w:t>
            </w:r>
          </w:p>
        </w:tc>
        <w:tc>
          <w:tcPr>
            <w:tcW w:w="517" w:type="dxa"/>
            <w:tcBorders>
              <w:top w:val="single" w:color="auto" w:sz="4" w:space="0"/>
              <w:left w:val="nil"/>
              <w:bottom w:val="single" w:color="auto" w:sz="4" w:space="0"/>
              <w:right w:val="nil"/>
            </w:tcBorders>
          </w:tcPr>
          <w:p>
            <w:pPr>
              <w:pStyle w:val="36"/>
              <w:rPr>
                <w:rFonts w:cs="Arial"/>
                <w:color w:val="0000FF"/>
              </w:rPr>
            </w:pPr>
            <w:r>
              <w:rPr>
                <w:rFonts w:cs="Arial"/>
                <w:color w:val="0000FF"/>
              </w:rPr>
              <w:t>–</w:t>
            </w:r>
          </w:p>
        </w:tc>
        <w:tc>
          <w:tcPr>
            <w:tcW w:w="1174" w:type="dxa"/>
            <w:tcBorders>
              <w:top w:val="single" w:color="auto" w:sz="4" w:space="0"/>
              <w:left w:val="nil"/>
              <w:bottom w:val="single" w:color="auto" w:sz="4" w:space="0"/>
              <w:right w:val="single" w:color="auto" w:sz="4" w:space="0"/>
            </w:tcBorders>
            <w:vAlign w:val="center"/>
          </w:tcPr>
          <w:p>
            <w:pPr>
              <w:pStyle w:val="37"/>
              <w:rPr>
                <w:rFonts w:cs="Arial"/>
                <w:color w:val="0000FF"/>
              </w:rPr>
            </w:pPr>
            <w:r>
              <w:rPr>
                <w:rFonts w:cs="Arial"/>
                <w:color w:val="0000FF"/>
              </w:rPr>
              <w:t xml:space="preserve">703 MHz </w:t>
            </w:r>
          </w:p>
        </w:tc>
        <w:tc>
          <w:tcPr>
            <w:tcW w:w="1242" w:type="dxa"/>
            <w:tcBorders>
              <w:top w:val="single" w:color="auto" w:sz="4" w:space="0"/>
              <w:left w:val="nil"/>
              <w:bottom w:val="single" w:color="auto" w:sz="4" w:space="0"/>
              <w:right w:val="nil"/>
            </w:tcBorders>
            <w:vAlign w:val="center"/>
          </w:tcPr>
          <w:p>
            <w:pPr>
              <w:pStyle w:val="95"/>
              <w:rPr>
                <w:rFonts w:cs="Arial"/>
                <w:color w:val="0000FF"/>
              </w:rPr>
            </w:pPr>
            <w:r>
              <w:rPr>
                <w:rFonts w:cs="Arial"/>
                <w:color w:val="0000FF"/>
              </w:rPr>
              <w:t>612 MHz</w:t>
            </w:r>
          </w:p>
        </w:tc>
        <w:tc>
          <w:tcPr>
            <w:tcW w:w="317" w:type="dxa"/>
            <w:tcBorders>
              <w:top w:val="single" w:color="auto" w:sz="4" w:space="0"/>
              <w:left w:val="nil"/>
              <w:bottom w:val="single" w:color="auto" w:sz="4" w:space="0"/>
              <w:right w:val="nil"/>
            </w:tcBorders>
          </w:tcPr>
          <w:p>
            <w:pPr>
              <w:pStyle w:val="36"/>
              <w:rPr>
                <w:rFonts w:cs="Arial"/>
                <w:color w:val="0000FF"/>
              </w:rPr>
            </w:pPr>
            <w:r>
              <w:rPr>
                <w:rFonts w:cs="Arial"/>
                <w:color w:val="0000FF"/>
              </w:rPr>
              <w:t>–</w:t>
            </w:r>
          </w:p>
        </w:tc>
        <w:tc>
          <w:tcPr>
            <w:tcW w:w="1200" w:type="dxa"/>
            <w:tcBorders>
              <w:top w:val="single" w:color="auto" w:sz="4" w:space="0"/>
              <w:left w:val="nil"/>
              <w:bottom w:val="single" w:color="auto" w:sz="4" w:space="0"/>
              <w:right w:val="single" w:color="auto" w:sz="4" w:space="0"/>
            </w:tcBorders>
            <w:vAlign w:val="center"/>
          </w:tcPr>
          <w:p>
            <w:pPr>
              <w:pStyle w:val="37"/>
              <w:rPr>
                <w:rFonts w:cs="Arial"/>
                <w:color w:val="0000FF"/>
              </w:rPr>
            </w:pPr>
            <w:r>
              <w:rPr>
                <w:rFonts w:cs="Arial"/>
                <w:color w:val="0000FF"/>
              </w:rPr>
              <w:t>652 MHz</w:t>
            </w:r>
          </w:p>
        </w:tc>
        <w:tc>
          <w:tcPr>
            <w:tcW w:w="906" w:type="dxa"/>
            <w:tcBorders>
              <w:top w:val="single" w:color="auto" w:sz="4" w:space="0"/>
              <w:left w:val="single" w:color="auto" w:sz="4" w:space="0"/>
              <w:bottom w:val="single" w:color="auto" w:sz="4" w:space="0"/>
              <w:right w:val="single" w:color="auto" w:sz="4" w:space="0"/>
            </w:tcBorders>
          </w:tcPr>
          <w:p>
            <w:pPr>
              <w:pStyle w:val="36"/>
              <w:rPr>
                <w:rFonts w:cs="Arial"/>
                <w:color w:val="0000FF"/>
              </w:rPr>
            </w:pPr>
            <w:r>
              <w:rPr>
                <w:rFonts w:cs="Arial"/>
                <w:color w:val="0000FF"/>
              </w:rPr>
              <w:t>FDD</w:t>
            </w:r>
          </w:p>
        </w:tc>
      </w:tr>
    </w:tbl>
    <w:p>
      <w:pPr>
        <w:keepNext/>
        <w:keepLines/>
        <w:pageBreakBefore w:val="0"/>
        <w:widowControl/>
        <w:suppressLineNumbers w:val="0"/>
        <w:kinsoku/>
        <w:wordWrap/>
        <w:topLinePunct w:val="0"/>
        <w:bidi w:val="0"/>
        <w:ind w:firstLine="420" w:firstLineChars="0"/>
        <w:jc w:val="center"/>
        <w:rPr>
          <w:rFonts w:hint="eastAsia"/>
          <w:b/>
          <w:bCs/>
          <w:i w:val="0"/>
          <w:iCs w:val="0"/>
          <w:u w:val="single"/>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define the band in Table 2.1-1 for APT600MHz.</w:t>
      </w:r>
    </w:p>
    <w:p>
      <w:pPr>
        <w:keepNext/>
        <w:keepLines/>
        <w:pageBreakBefore w:val="0"/>
        <w:widowControl/>
        <w:suppressLineNumbers w:val="0"/>
        <w:kinsoku/>
        <w:wordWrap/>
        <w:topLinePunct w:val="0"/>
        <w:bidi w:val="0"/>
        <w:ind w:firstLine="420" w:firstLineChars="0"/>
        <w:jc w:val="center"/>
        <w:rPr>
          <w:rFonts w:hint="eastAsia"/>
          <w:b/>
          <w:bCs/>
          <w:i w:val="0"/>
          <w:iCs w:val="0"/>
          <w:u w:val="singl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Channel bandwidth</w:t>
      </w:r>
    </w:p>
    <w:p>
      <w:pPr>
        <w:keepNext w:val="0"/>
        <w:keepLines w:val="0"/>
        <w:pageBreakBefore w:val="0"/>
        <w:widowControl w:val="0"/>
        <w:suppressLineNumbers w:val="0"/>
        <w:kinsoku/>
        <w:wordWrap/>
        <w:topLinePunct w:val="0"/>
        <w:bidi w:val="0"/>
        <w:spacing w:before="120" w:beforeLines="0" w:after="120" w:afterLines="0"/>
        <w:ind w:firstLine="0" w:firstLineChars="0"/>
        <w:jc w:val="left"/>
        <w:rPr>
          <w:rFonts w:hint="default"/>
          <w:b/>
          <w:bCs/>
          <w:i w:val="0"/>
          <w:iCs w:val="0"/>
          <w:u w:val="single"/>
          <w:lang w:val="en-US" w:eastAsia="zh-CN"/>
        </w:rPr>
      </w:pPr>
      <w:r>
        <w:rPr>
          <w:rFonts w:hint="eastAsia"/>
          <w:b w:val="0"/>
          <w:bCs w:val="0"/>
          <w:i w:val="0"/>
          <w:iCs w:val="0"/>
          <w:lang w:val="en-US" w:eastAsia="zh-CN"/>
        </w:rPr>
        <w:t>For the supported channel bandwidth for APT600MHz, it has been captured in the WID and it could be captured as following Table 2.2-1 similar as that of band n71. However one issue might need more discussions on whether the NOTE 4 in Table 2.2-1 should be also applicable for n105.</w:t>
      </w:r>
    </w:p>
    <w:p>
      <w:pPr>
        <w:keepNext/>
        <w:keepLines/>
        <w:pageBreakBefore w:val="0"/>
        <w:widowControl/>
        <w:suppressLineNumbers w:val="0"/>
        <w:kinsoku/>
        <w:wordWrap/>
        <w:topLinePunct w:val="0"/>
        <w:bidi w:val="0"/>
        <w:ind w:firstLine="420" w:firstLineChars="0"/>
        <w:jc w:val="center"/>
        <w:rPr>
          <w:rFonts w:hint="default"/>
          <w:b/>
          <w:bCs/>
          <w:i w:val="0"/>
          <w:iCs w:val="0"/>
          <w:u w:val="single"/>
          <w:lang w:val="en-US" w:eastAsia="zh-CN"/>
        </w:rPr>
      </w:pPr>
      <w:r>
        <w:rPr>
          <w:rFonts w:hint="eastAsia"/>
          <w:b/>
          <w:bCs/>
          <w:i w:val="0"/>
          <w:iCs w:val="0"/>
          <w:u w:val="single"/>
          <w:lang w:val="en-US" w:eastAsia="zh-CN"/>
        </w:rPr>
        <w:t>Table 2.2-1. supported chennel bandwidth and SCS for band n105 in TS 38.101-1</w:t>
      </w:r>
    </w:p>
    <w:tbl>
      <w:tblPr>
        <w:tblStyle w:val="24"/>
        <w:tblW w:w="11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NR Band</w:t>
            </w:r>
          </w:p>
        </w:tc>
        <w:tc>
          <w:tcPr>
            <w:tcW w:w="709" w:type="dxa"/>
            <w:vMerge w:val="restart"/>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SCS (kHz)</w:t>
            </w:r>
          </w:p>
        </w:tc>
        <w:tc>
          <w:tcPr>
            <w:tcW w:w="9633" w:type="dxa"/>
            <w:gridSpan w:val="15"/>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vMerge w:val="continue"/>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6"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5</w:t>
            </w:r>
          </w:p>
        </w:tc>
        <w:tc>
          <w:tcPr>
            <w:tcW w:w="63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eastAsia="zh-CN"/>
              </w:rPr>
              <w:t>1</w:t>
            </w:r>
            <w:r>
              <w:rPr>
                <w:lang w:eastAsia="zh-CN"/>
              </w:rPr>
              <w:t>0</w:t>
            </w:r>
          </w:p>
        </w:tc>
        <w:tc>
          <w:tcPr>
            <w:tcW w:w="638"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eastAsia="zh-CN"/>
              </w:rPr>
              <w:t>1</w:t>
            </w:r>
            <w:r>
              <w:rPr>
                <w:lang w:eastAsia="zh-CN"/>
              </w:rPr>
              <w:t>5</w:t>
            </w:r>
          </w:p>
        </w:tc>
        <w:tc>
          <w:tcPr>
            <w:tcW w:w="708"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eastAsia="zh-CN"/>
              </w:rPr>
              <w:t>2</w:t>
            </w:r>
            <w:r>
              <w:rPr>
                <w:lang w:eastAsia="zh-CN"/>
              </w:rPr>
              <w:t>0</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lang w:eastAsia="zh-CN"/>
              </w:rPr>
              <w:t>25</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3</w:t>
            </w:r>
            <w:r>
              <w:rPr>
                <w:lang w:eastAsia="zh-CN"/>
              </w:rPr>
              <w:t>0</w:t>
            </w:r>
          </w:p>
        </w:tc>
        <w:tc>
          <w:tcPr>
            <w:tcW w:w="709" w:type="dxa"/>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eastAsia="zh-CN"/>
              </w:rPr>
              <w:t>35</w:t>
            </w:r>
          </w:p>
        </w:tc>
        <w:tc>
          <w:tcPr>
            <w:tcW w:w="709"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4</w:t>
            </w:r>
            <w:r>
              <w:rPr>
                <w:lang w:eastAsia="zh-CN"/>
              </w:rPr>
              <w:t>0</w:t>
            </w:r>
          </w:p>
        </w:tc>
        <w:tc>
          <w:tcPr>
            <w:tcW w:w="709" w:type="dxa"/>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eastAsia="zh-CN"/>
              </w:rPr>
              <w:t>45</w:t>
            </w:r>
          </w:p>
        </w:tc>
        <w:tc>
          <w:tcPr>
            <w:tcW w:w="709"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50</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6</w:t>
            </w:r>
            <w:r>
              <w:rPr>
                <w:lang w:eastAsia="zh-CN"/>
              </w:rPr>
              <w:t>0</w:t>
            </w:r>
          </w:p>
        </w:tc>
        <w:tc>
          <w:tcPr>
            <w:tcW w:w="709"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7</w:t>
            </w:r>
            <w:r>
              <w:rPr>
                <w:lang w:eastAsia="zh-CN"/>
              </w:rPr>
              <w:t>0</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8</w:t>
            </w:r>
            <w:r>
              <w:rPr>
                <w:lang w:eastAsia="zh-CN"/>
              </w:rPr>
              <w:t>0</w:t>
            </w:r>
          </w:p>
        </w:tc>
        <w:tc>
          <w:tcPr>
            <w:tcW w:w="628"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9</w:t>
            </w:r>
            <w:r>
              <w:rPr>
                <w:lang w:eastAsia="zh-CN"/>
              </w:rPr>
              <w:t>0</w:t>
            </w:r>
          </w:p>
        </w:tc>
        <w:tc>
          <w:tcPr>
            <w:tcW w:w="643"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n71</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5</w:t>
            </w: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20</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r>
              <w:rPr>
                <w:rFonts w:eastAsia="Yu Mincho"/>
                <w:vertAlign w:val="superscript"/>
              </w:rPr>
              <w:t>3</w:t>
            </w: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eastAsia="Yu Mincho"/>
              </w:rPr>
              <w:t>35</w:t>
            </w:r>
            <w:r>
              <w:rPr>
                <w:rFonts w:eastAsia="Yu Mincho"/>
                <w:vertAlign w:val="superscript"/>
              </w:rPr>
              <w:t>3,4</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3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20</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r>
              <w:rPr>
                <w:rFonts w:eastAsia="Yu Mincho"/>
                <w:vertAlign w:val="superscript"/>
              </w:rPr>
              <w:t>3</w:t>
            </w: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eastAsia="Yu Mincho"/>
              </w:rPr>
              <w:t>35</w:t>
            </w:r>
            <w:r>
              <w:rPr>
                <w:rFonts w:eastAsia="Yu Mincho"/>
                <w:vertAlign w:val="superscript"/>
              </w:rPr>
              <w:t>3,4</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60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eastAsia="宋体"/>
                <w:color w:val="0000FF"/>
                <w:lang w:val="en-US" w:eastAsia="zh-CN"/>
              </w:rPr>
              <w:t>n105</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15</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5</w:t>
            </w: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20</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25</w:t>
            </w:r>
            <w:r>
              <w:rPr>
                <w:rFonts w:eastAsia="Yu Mincho"/>
                <w:color w:val="0000FF"/>
                <w:vertAlign w:val="superscript"/>
              </w:rPr>
              <w:t>3</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30</w:t>
            </w:r>
            <w:r>
              <w:rPr>
                <w:rFonts w:eastAsia="Yu Mincho"/>
                <w:color w:val="0000FF"/>
                <w:vertAlign w:val="superscript"/>
              </w:rPr>
              <w:t>3</w:t>
            </w:r>
          </w:p>
        </w:tc>
        <w:tc>
          <w:tcPr>
            <w:tcW w:w="709" w:type="dxa"/>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color w:val="0000FF"/>
                <w:kern w:val="2"/>
                <w:sz w:val="18"/>
                <w:lang w:val="en-US" w:eastAsia="zh-CN" w:bidi="ar-SA"/>
              </w:rPr>
            </w:pPr>
            <w:r>
              <w:rPr>
                <w:rFonts w:eastAsia="Yu Mincho"/>
                <w:color w:val="0000FF"/>
              </w:rPr>
              <w:t>35</w:t>
            </w:r>
            <w:r>
              <w:rPr>
                <w:rFonts w:eastAsia="Yu Mincho"/>
                <w:color w:val="0000FF"/>
                <w:vertAlign w:val="superscript"/>
              </w:rPr>
              <w:t>3</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30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63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20</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25</w:t>
            </w:r>
            <w:r>
              <w:rPr>
                <w:rFonts w:eastAsia="Yu Mincho"/>
                <w:color w:val="0000FF"/>
                <w:vertAlign w:val="superscript"/>
              </w:rPr>
              <w:t>3</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30</w:t>
            </w:r>
            <w:r>
              <w:rPr>
                <w:rFonts w:eastAsia="Yu Mincho"/>
                <w:color w:val="0000FF"/>
                <w:vertAlign w:val="superscript"/>
              </w:rPr>
              <w:t>3</w:t>
            </w:r>
          </w:p>
        </w:tc>
        <w:tc>
          <w:tcPr>
            <w:tcW w:w="709" w:type="dxa"/>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color w:val="0000FF"/>
                <w:kern w:val="2"/>
                <w:sz w:val="18"/>
                <w:lang w:val="en-US" w:eastAsia="zh-CN" w:bidi="ar-SA"/>
              </w:rPr>
            </w:pPr>
            <w:r>
              <w:rPr>
                <w:rFonts w:eastAsia="Yu Mincho"/>
                <w:color w:val="0000FF"/>
              </w:rPr>
              <w:t>35</w:t>
            </w:r>
            <w:r>
              <w:rPr>
                <w:rFonts w:eastAsia="Yu Mincho"/>
                <w:color w:val="0000FF"/>
                <w:vertAlign w:val="superscript"/>
              </w:rPr>
              <w:t>3</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60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9" w:type="dxa"/>
            <w:gridSpan w:val="17"/>
          </w:tcPr>
          <w:p>
            <w:pPr>
              <w:pStyle w:val="4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lang w:val="en-US" w:eastAsia="zh-CN"/>
              </w:rPr>
            </w:pPr>
            <w:r>
              <w:rPr>
                <w:rFonts w:hint="eastAsia"/>
                <w:lang w:val="en-US" w:eastAsia="zh-CN"/>
              </w:rPr>
              <w:t>&lt;...&gt;</w:t>
            </w:r>
          </w:p>
          <w:p>
            <w:pPr>
              <w:pStyle w:val="4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NOTE 3:</w:t>
            </w:r>
            <w:r>
              <w:rPr>
                <w:rFonts w:eastAsia="Yu Mincho"/>
              </w:rPr>
              <w:tab/>
            </w:r>
            <w:r>
              <w:rPr>
                <w:rFonts w:eastAsia="Yu Mincho"/>
              </w:rPr>
              <w:t>This UE channel bandwidth is applicable only to downlink.</w:t>
            </w:r>
          </w:p>
          <w:p>
            <w:pPr>
              <w:pStyle w:val="4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NOTE 4:</w:t>
            </w:r>
            <w:r>
              <w:rPr>
                <w:rFonts w:eastAsia="Yu Mincho"/>
              </w:rPr>
              <w:tab/>
            </w:r>
            <w:r>
              <w:rPr>
                <w:rFonts w:eastAsia="Yu Mincho"/>
              </w:rPr>
              <w:t>This UE channel bandwidth is optional in this release of the specification.</w:t>
            </w:r>
          </w:p>
        </w:tc>
      </w:tr>
    </w:tbl>
    <w:p>
      <w:pPr>
        <w:keepNext/>
        <w:keepLines/>
        <w:pageBreakBefore w:val="0"/>
        <w:widowControl/>
        <w:suppressLineNumbers w:val="0"/>
        <w:kinsoku/>
        <w:wordWrap/>
        <w:topLinePunct w:val="0"/>
        <w:bidi w:val="0"/>
        <w:jc w:val="left"/>
        <w:rPr>
          <w:rFonts w:hint="eastAsia"/>
          <w:b/>
          <w:bCs/>
          <w:i w:val="0"/>
          <w:iCs w:val="0"/>
          <w:u w:val="single"/>
          <w:lang w:val="en-US" w:eastAsia="zh-CN"/>
        </w:rPr>
      </w:pPr>
      <w:bookmarkStart w:id="6" w:name="OLE_LINK5"/>
    </w:p>
    <w:p>
      <w:pPr>
        <w:keepNext/>
        <w:keepLines/>
        <w:pageBreakBefore w:val="0"/>
        <w:widowControl/>
        <w:suppressLineNumbers w:val="0"/>
        <w:kinsoku/>
        <w:wordWrap/>
        <w:topLinePunct w:val="0"/>
        <w:bidi w:val="0"/>
        <w:ind w:firstLine="420" w:firstLineChars="0"/>
        <w:jc w:val="center"/>
        <w:rPr>
          <w:rFonts w:hint="default"/>
          <w:b/>
          <w:bCs/>
          <w:i w:val="0"/>
          <w:iCs w:val="0"/>
          <w:u w:val="single"/>
          <w:lang w:val="en-US" w:eastAsia="zh-CN"/>
        </w:rPr>
      </w:pPr>
      <w:r>
        <w:rPr>
          <w:rFonts w:hint="eastAsia"/>
          <w:b/>
          <w:bCs/>
          <w:i w:val="0"/>
          <w:iCs w:val="0"/>
          <w:u w:val="single"/>
          <w:lang w:val="en-US" w:eastAsia="zh-CN"/>
        </w:rPr>
        <w:t>Table 2.2-2. supported chennel bandwidth and SCS for band n105 in TS 38.104</w:t>
      </w:r>
    </w:p>
    <w:tbl>
      <w:tblPr>
        <w:tblStyle w:val="24"/>
        <w:tblW w:w="11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NR Band</w:t>
            </w:r>
          </w:p>
        </w:tc>
        <w:tc>
          <w:tcPr>
            <w:tcW w:w="709" w:type="dxa"/>
            <w:vMerge w:val="restart"/>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SCS (kHz)</w:t>
            </w:r>
          </w:p>
        </w:tc>
        <w:tc>
          <w:tcPr>
            <w:tcW w:w="9633" w:type="dxa"/>
            <w:gridSpan w:val="15"/>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vMerge w:val="continue"/>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6"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5</w:t>
            </w:r>
          </w:p>
        </w:tc>
        <w:tc>
          <w:tcPr>
            <w:tcW w:w="63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eastAsia="zh-CN"/>
              </w:rPr>
              <w:t>1</w:t>
            </w:r>
            <w:r>
              <w:rPr>
                <w:lang w:eastAsia="zh-CN"/>
              </w:rPr>
              <w:t>0</w:t>
            </w:r>
          </w:p>
        </w:tc>
        <w:tc>
          <w:tcPr>
            <w:tcW w:w="638"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eastAsia="zh-CN"/>
              </w:rPr>
              <w:t>1</w:t>
            </w:r>
            <w:r>
              <w:rPr>
                <w:lang w:eastAsia="zh-CN"/>
              </w:rPr>
              <w:t>5</w:t>
            </w:r>
          </w:p>
        </w:tc>
        <w:tc>
          <w:tcPr>
            <w:tcW w:w="708"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rFonts w:hint="eastAsia"/>
                <w:lang w:eastAsia="zh-CN"/>
              </w:rPr>
              <w:t>2</w:t>
            </w:r>
            <w:r>
              <w:rPr>
                <w:lang w:eastAsia="zh-CN"/>
              </w:rPr>
              <w:t>0</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ko-KR"/>
              </w:rPr>
            </w:pPr>
            <w:r>
              <w:rPr>
                <w:lang w:eastAsia="zh-CN"/>
              </w:rPr>
              <w:t>25</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3</w:t>
            </w:r>
            <w:r>
              <w:rPr>
                <w:lang w:eastAsia="zh-CN"/>
              </w:rPr>
              <w:t>0</w:t>
            </w:r>
          </w:p>
        </w:tc>
        <w:tc>
          <w:tcPr>
            <w:tcW w:w="709" w:type="dxa"/>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eastAsia="zh-CN"/>
              </w:rPr>
              <w:t>35</w:t>
            </w:r>
          </w:p>
        </w:tc>
        <w:tc>
          <w:tcPr>
            <w:tcW w:w="709"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4</w:t>
            </w:r>
            <w:r>
              <w:rPr>
                <w:lang w:eastAsia="zh-CN"/>
              </w:rPr>
              <w:t>0</w:t>
            </w:r>
          </w:p>
        </w:tc>
        <w:tc>
          <w:tcPr>
            <w:tcW w:w="709" w:type="dxa"/>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eastAsia="zh-CN"/>
              </w:rPr>
              <w:t>45</w:t>
            </w:r>
          </w:p>
        </w:tc>
        <w:tc>
          <w:tcPr>
            <w:tcW w:w="709"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50</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6</w:t>
            </w:r>
            <w:r>
              <w:rPr>
                <w:lang w:eastAsia="zh-CN"/>
              </w:rPr>
              <w:t>0</w:t>
            </w:r>
          </w:p>
        </w:tc>
        <w:tc>
          <w:tcPr>
            <w:tcW w:w="709"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7</w:t>
            </w:r>
            <w:r>
              <w:rPr>
                <w:lang w:eastAsia="zh-CN"/>
              </w:rPr>
              <w:t>0</w:t>
            </w:r>
          </w:p>
        </w:tc>
        <w:tc>
          <w:tcPr>
            <w:tcW w:w="567"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8</w:t>
            </w:r>
            <w:r>
              <w:rPr>
                <w:lang w:eastAsia="zh-CN"/>
              </w:rPr>
              <w:t>0</w:t>
            </w:r>
          </w:p>
        </w:tc>
        <w:tc>
          <w:tcPr>
            <w:tcW w:w="628"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9</w:t>
            </w:r>
            <w:r>
              <w:rPr>
                <w:lang w:eastAsia="zh-CN"/>
              </w:rPr>
              <w:t>0</w:t>
            </w:r>
          </w:p>
        </w:tc>
        <w:tc>
          <w:tcPr>
            <w:tcW w:w="643" w:type="dxa"/>
            <w:tcMar>
              <w:left w:w="28" w:type="dxa"/>
              <w:right w:w="28" w:type="dxa"/>
            </w:tcMar>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n71</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5</w:t>
            </w: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20</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25</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eastAsia="Yu Mincho"/>
              </w:rPr>
              <w:t>35</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3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20</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25</w:t>
            </w: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eastAsia="Yu Mincho"/>
              </w:rPr>
              <w:t>35</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60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eastAsia="宋体"/>
                <w:color w:val="0000FF"/>
                <w:lang w:val="en-US" w:eastAsia="zh-CN"/>
              </w:rPr>
              <w:t>n105</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15</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5</w:t>
            </w: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20</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25</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30</w:t>
            </w:r>
          </w:p>
        </w:tc>
        <w:tc>
          <w:tcPr>
            <w:tcW w:w="709" w:type="dxa"/>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color w:val="0000FF"/>
                <w:kern w:val="2"/>
                <w:sz w:val="18"/>
                <w:lang w:val="en-US" w:eastAsia="zh-CN" w:bidi="ar-SA"/>
              </w:rPr>
            </w:pPr>
            <w:r>
              <w:rPr>
                <w:rFonts w:eastAsia="Yu Mincho"/>
                <w:color w:val="0000FF"/>
              </w:rPr>
              <w:t>35</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30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637"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10</w:t>
            </w: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15</w:t>
            </w: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20</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25</w:t>
            </w:r>
          </w:p>
        </w:tc>
        <w:tc>
          <w:tcPr>
            <w:tcW w:w="567" w:type="dxa"/>
            <w:tcMar>
              <w:left w:w="28" w:type="dxa"/>
              <w:right w:w="28" w:type="dxa"/>
            </w:tcMar>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color w:val="0000FF"/>
                <w:kern w:val="2"/>
                <w:sz w:val="18"/>
                <w:lang w:val="en-US" w:eastAsia="zh-CN" w:bidi="ar-SA"/>
              </w:rPr>
            </w:pPr>
            <w:r>
              <w:rPr>
                <w:rFonts w:eastAsia="Yu Mincho"/>
                <w:color w:val="0000FF"/>
              </w:rPr>
              <w:t>30</w:t>
            </w:r>
          </w:p>
        </w:tc>
        <w:tc>
          <w:tcPr>
            <w:tcW w:w="709" w:type="dxa"/>
            <w:vAlign w:val="top"/>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color w:val="0000FF"/>
                <w:kern w:val="2"/>
                <w:sz w:val="18"/>
                <w:lang w:val="en-US" w:eastAsia="zh-CN" w:bidi="ar-SA"/>
              </w:rPr>
            </w:pPr>
            <w:r>
              <w:rPr>
                <w:rFonts w:eastAsia="Yu Mincho"/>
                <w:color w:val="0000FF"/>
              </w:rPr>
              <w:t>35</w:t>
            </w: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r>
              <w:rPr>
                <w:rFonts w:eastAsia="Yu Mincho"/>
                <w:color w:val="0000FF"/>
              </w:rPr>
              <w:t>60</w:t>
            </w:r>
          </w:p>
        </w:tc>
        <w:tc>
          <w:tcPr>
            <w:tcW w:w="566"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63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63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8"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color w:val="0000FF"/>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09"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567"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28" w:type="dxa"/>
            <w:tcMar>
              <w:left w:w="28" w:type="dxa"/>
              <w:right w:w="28" w:type="dxa"/>
            </w:tcMa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643" w:type="dxa"/>
            <w:tcMar>
              <w:left w:w="28" w:type="dxa"/>
              <w:right w:w="28" w:type="dxa"/>
            </w:tcMar>
            <w:vAlign w:val="center"/>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9" w:type="dxa"/>
            <w:gridSpan w:val="17"/>
          </w:tcPr>
          <w:p>
            <w:pPr>
              <w:pStyle w:val="4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lang w:val="en-US" w:eastAsia="zh-CN"/>
              </w:rPr>
            </w:pPr>
            <w:r>
              <w:rPr>
                <w:rFonts w:hint="eastAsia"/>
                <w:lang w:val="en-US" w:eastAsia="zh-CN"/>
              </w:rPr>
              <w:t>&lt;...&gt;</w:t>
            </w:r>
          </w:p>
          <w:p>
            <w:pPr>
              <w:pStyle w:val="4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w:t>
            </w:r>
          </w:p>
        </w:tc>
      </w:tr>
    </w:tbl>
    <w:p>
      <w:pPr>
        <w:keepNext/>
        <w:keepLines/>
        <w:pageBreakBefore w:val="0"/>
        <w:widowControl/>
        <w:suppressLineNumbers w:val="0"/>
        <w:kinsoku/>
        <w:wordWrap/>
        <w:topLinePunct w:val="0"/>
        <w:bidi w:val="0"/>
        <w:jc w:val="left"/>
        <w:rPr>
          <w:rFonts w:hint="eastAsia"/>
          <w:b/>
          <w:bCs/>
          <w:i w:val="0"/>
          <w:iCs w:val="0"/>
          <w:u w:val="single"/>
          <w:lang w:val="en-US" w:eastAsia="zh-CN"/>
        </w:rPr>
      </w:pPr>
    </w:p>
    <w:p>
      <w:pPr>
        <w:keepNext w:val="0"/>
        <w:keepLines w:val="0"/>
        <w:pageBreakBefore w:val="0"/>
        <w:widowControl w:val="0"/>
        <w:suppressLineNumbers w:val="0"/>
        <w:kinsoku/>
        <w:wordWrap/>
        <w:topLinePunct w:val="0"/>
        <w:bidi w:val="0"/>
        <w:spacing w:before="120" w:beforeLines="0" w:after="120" w:afterLines="0"/>
        <w:jc w:val="left"/>
        <w:rPr>
          <w:rFonts w:hint="eastAsia"/>
          <w:b w:val="0"/>
          <w:bCs w:val="0"/>
          <w:i w:val="0"/>
          <w:iCs w:val="0"/>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xml:space="preserve">: to define the supported channel bandwidth for APT600MHz as in Table 2.2-1 and Table 2.2-2 and further discuss the applicability of </w:t>
      </w:r>
      <w:r>
        <w:rPr>
          <w:rFonts w:hint="eastAsia"/>
          <w:b w:val="0"/>
          <w:bCs w:val="0"/>
          <w:i w:val="0"/>
          <w:iCs w:val="0"/>
          <w:lang w:val="en-US" w:eastAsia="zh-CN"/>
        </w:rPr>
        <w:t>NOTE 4 in Table 2.2-1 for n105.</w:t>
      </w:r>
    </w:p>
    <w:p>
      <w:pPr>
        <w:keepNext w:val="0"/>
        <w:keepLines w:val="0"/>
        <w:pageBreakBefore w:val="0"/>
        <w:widowControl w:val="0"/>
        <w:suppressLineNumbers w:val="0"/>
        <w:kinsoku/>
        <w:wordWrap/>
        <w:topLinePunct w:val="0"/>
        <w:bidi w:val="0"/>
        <w:spacing w:before="120" w:beforeLines="0" w:after="120" w:afterLines="0"/>
        <w:jc w:val="left"/>
        <w:rPr>
          <w:rFonts w:hint="eastAsia"/>
          <w:b w:val="0"/>
          <w:bCs w:val="0"/>
          <w:i w:val="0"/>
          <w:iCs w:val="0"/>
          <w:lang w:val="en-US" w:eastAsia="zh-CN"/>
        </w:rPr>
      </w:pPr>
    </w:p>
    <w:bookmarkEnd w:id="6"/>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eastAsia"/>
          <w:b w:val="0"/>
          <w:bCs w:val="0"/>
          <w:i w:val="0"/>
          <w:iCs w:val="0"/>
          <w:lang w:val="en-US" w:eastAsia="zh-CN"/>
        </w:rPr>
      </w:pPr>
      <w:r>
        <w:rPr>
          <w:rFonts w:hint="eastAsia"/>
          <w:b w:val="0"/>
          <w:bCs w:val="0"/>
          <w:i w:val="0"/>
          <w:iCs w:val="0"/>
          <w:lang w:val="en-US" w:eastAsia="zh-CN"/>
        </w:rPr>
        <w:t>In addition, from UE RF perspective, the largest supported channel bandwidth in downlink is 35MHzr and the largetest supported</w:t>
      </w:r>
      <w:r>
        <w:rPr>
          <w:rFonts w:hint="eastAsia"/>
          <w:b w:val="0"/>
          <w:bCs w:val="0"/>
          <w:i w:val="0"/>
          <w:iCs w:val="0"/>
          <w:lang w:val="en-US" w:eastAsia="ja-JP"/>
        </w:rPr>
        <w:t xml:space="preserve"> channel bandwidth</w:t>
      </w:r>
      <w:r>
        <w:rPr>
          <w:rFonts w:hint="eastAsia"/>
          <w:b w:val="0"/>
          <w:bCs w:val="0"/>
          <w:i w:val="0"/>
          <w:iCs w:val="0"/>
          <w:lang w:val="en-US" w:eastAsia="zh-CN"/>
        </w:rPr>
        <w:t xml:space="preserve"> in uplink</w:t>
      </w:r>
      <w:r>
        <w:rPr>
          <w:rFonts w:hint="eastAsia"/>
          <w:b w:val="0"/>
          <w:bCs w:val="0"/>
          <w:i w:val="0"/>
          <w:iCs w:val="0"/>
          <w:lang w:val="en-US" w:eastAsia="ja-JP"/>
        </w:rPr>
        <w:t xml:space="preserve"> is limited to 20 MHz</w:t>
      </w:r>
      <w:r>
        <w:rPr>
          <w:rFonts w:hint="eastAsia"/>
          <w:b w:val="0"/>
          <w:bCs w:val="0"/>
          <w:i w:val="0"/>
          <w:iCs w:val="0"/>
          <w:lang w:val="en-US" w:eastAsia="zh-CN"/>
        </w:rPr>
        <w:t xml:space="preserve">, which means UE need to support asymmetric channel bandwidths similar as band n71. </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eastAsia"/>
          <w:b w:val="0"/>
          <w:bCs w:val="0"/>
          <w:i w:val="0"/>
          <w:iCs w:val="0"/>
          <w:lang w:val="en-US" w:eastAsia="zh-CN"/>
        </w:rPr>
      </w:pPr>
      <w:r>
        <w:rPr>
          <w:rFonts w:hint="eastAsia"/>
          <w:b w:val="0"/>
          <w:bCs w:val="0"/>
          <w:i w:val="0"/>
          <w:iCs w:val="0"/>
          <w:lang w:val="en-US" w:eastAsia="zh-CN"/>
        </w:rPr>
        <w:t>In current spec TS38.101-1, there are three asymmetric channel bandwidth combination set defined for band n71, each set corresponding to sets of UL/DL channel bandwidth, where UL channel bandwidth is smaller than DL channel bandwidth, as shown in table 3.</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eastAsia"/>
          <w:b w:val="0"/>
          <w:bCs w:val="0"/>
          <w:i w:val="0"/>
          <w:iCs w:val="0"/>
          <w:lang w:val="en-US" w:eastAsia="zh-CN"/>
        </w:rPr>
      </w:pPr>
      <w:r>
        <w:rPr>
          <w:rFonts w:hint="eastAsia"/>
          <w:b w:val="0"/>
          <w:bCs w:val="0"/>
          <w:i w:val="0"/>
          <w:iCs w:val="0"/>
          <w:lang w:val="en-US" w:eastAsia="zh-CN"/>
        </w:rPr>
        <w:t>For the new added band for APT600MHz, more discussion would be needed to support the asymmetric channel bandwidths due to it may largely depends on the operator</w:t>
      </w:r>
      <w:r>
        <w:rPr>
          <w:rFonts w:hint="default"/>
          <w:b w:val="0"/>
          <w:bCs w:val="0"/>
          <w:i w:val="0"/>
          <w:iCs w:val="0"/>
          <w:lang w:val="en-US" w:eastAsia="zh-CN"/>
        </w:rPr>
        <w:t>’</w:t>
      </w:r>
      <w:r>
        <w:rPr>
          <w:rFonts w:hint="eastAsia"/>
          <w:b w:val="0"/>
          <w:bCs w:val="0"/>
          <w:i w:val="0"/>
          <w:iCs w:val="0"/>
          <w:lang w:val="en-US" w:eastAsia="zh-CN"/>
        </w:rPr>
        <w:t>s demands,</w:t>
      </w:r>
      <w:bookmarkStart w:id="7" w:name="OLE_LINK2"/>
      <w:r>
        <w:rPr>
          <w:rFonts w:hint="eastAsia"/>
          <w:b w:val="0"/>
          <w:bCs w:val="0"/>
          <w:i w:val="0"/>
          <w:iCs w:val="0"/>
          <w:lang w:val="en-US" w:eastAsia="zh-CN"/>
        </w:rPr>
        <w:t xml:space="preserve"> inputs from operator would be needed.</w:t>
      </w:r>
    </w:p>
    <w:bookmarkEnd w:id="7"/>
    <w:p>
      <w:pPr>
        <w:keepNext/>
        <w:keepLines/>
        <w:pageBreakBefore w:val="0"/>
        <w:widowControl/>
        <w:suppressLineNumbers w:val="0"/>
        <w:kinsoku/>
        <w:wordWrap/>
        <w:topLinePunct w:val="0"/>
        <w:bidi w:val="0"/>
        <w:ind w:firstLine="420" w:firstLineChars="0"/>
        <w:jc w:val="center"/>
        <w:rPr>
          <w:rFonts w:hint="default"/>
          <w:b/>
          <w:bCs/>
          <w:i w:val="0"/>
          <w:iCs w:val="0"/>
          <w:u w:val="none"/>
          <w:lang w:val="en-US" w:eastAsia="zh-CN"/>
        </w:rPr>
      </w:pPr>
      <w:r>
        <w:rPr>
          <w:rFonts w:hint="eastAsia"/>
          <w:b/>
          <w:bCs/>
          <w:i w:val="0"/>
          <w:iCs w:val="0"/>
          <w:u w:val="none"/>
          <w:lang w:val="en-US" w:eastAsia="zh-CN"/>
        </w:rPr>
        <w:t>Table 2.2-3. Asymmetric channel bandwidth for band n71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78" w:type="dxa"/>
            <w:tcBorders>
              <w:top w:val="single" w:color="auto" w:sz="4" w:space="0"/>
              <w:left w:val="single" w:color="auto" w:sz="4" w:space="0"/>
              <w:bottom w:val="single" w:color="auto" w:sz="4" w:space="0"/>
              <w:right w:val="single" w:color="auto" w:sz="4" w:space="0"/>
            </w:tcBorders>
            <w:shd w:val="clear" w:color="auto" w:fill="auto"/>
          </w:tcPr>
          <w:p>
            <w:pPr>
              <w:pStyle w:val="35"/>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rPr>
            </w:pPr>
            <w:r>
              <w:rPr>
                <w:lang w:val="en-US"/>
              </w:rPr>
              <w:t>NR Band</w:t>
            </w:r>
          </w:p>
        </w:tc>
        <w:tc>
          <w:tcPr>
            <w:tcW w:w="1876" w:type="dxa"/>
            <w:tcBorders>
              <w:top w:val="single" w:color="auto" w:sz="4" w:space="0"/>
              <w:left w:val="single" w:color="auto" w:sz="4" w:space="0"/>
              <w:right w:val="single" w:color="auto" w:sz="4" w:space="0"/>
            </w:tcBorders>
            <w:shd w:val="clear" w:color="auto" w:fill="auto"/>
          </w:tcPr>
          <w:p>
            <w:pPr>
              <w:pStyle w:val="35"/>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rPr>
            </w:pPr>
            <w:r>
              <w:rPr>
                <w:lang w:val="en-US"/>
              </w:rPr>
              <w:t>Channel bandwidths for UL (MHz)</w:t>
            </w:r>
          </w:p>
        </w:tc>
        <w:tc>
          <w:tcPr>
            <w:tcW w:w="1890" w:type="dxa"/>
            <w:tcBorders>
              <w:top w:val="single" w:color="auto" w:sz="4" w:space="0"/>
              <w:left w:val="single" w:color="auto" w:sz="4" w:space="0"/>
              <w:right w:val="single" w:color="auto" w:sz="4" w:space="0"/>
            </w:tcBorders>
            <w:shd w:val="clear" w:color="auto" w:fill="auto"/>
          </w:tcPr>
          <w:p>
            <w:pPr>
              <w:pStyle w:val="35"/>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rPr>
            </w:pPr>
            <w:r>
              <w:rPr>
                <w:lang w:val="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35"/>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rPr>
            </w:pPr>
            <w:bookmarkStart w:id="8" w:name="OLE_LINK3"/>
            <w:r>
              <w:rPr>
                <w:bCs/>
                <w:lang w:val="en-US"/>
              </w:rPr>
              <w:t>Asymmetric channel bandwidth combination set</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r>
              <w:rPr>
                <w:lang w:val="en-US"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t>5</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rPr>
                <w:lang w:eastAsia="fi-FI"/>
              </w:rPr>
              <w:t>10</w:t>
            </w:r>
          </w:p>
        </w:tc>
        <w:tc>
          <w:tcPr>
            <w:tcW w:w="1890" w:type="dxa"/>
            <w:tcBorders>
              <w:top w:val="single" w:color="auto" w:sz="4" w:space="0"/>
              <w:left w:val="single" w:color="auto" w:sz="4" w:space="0"/>
              <w:bottom w:val="nil"/>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t>10</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rPr>
                <w:lang w:eastAsia="fi-FI"/>
              </w:rPr>
              <w:t>15</w:t>
            </w:r>
          </w:p>
        </w:tc>
        <w:tc>
          <w:tcPr>
            <w:tcW w:w="1890" w:type="dxa"/>
            <w:tcBorders>
              <w:top w:val="nil"/>
              <w:left w:val="single" w:color="auto" w:sz="4" w:space="0"/>
              <w:bottom w:val="nil"/>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t>15</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rPr>
                <w:lang w:eastAsia="fi-FI"/>
              </w:rPr>
              <w:t>20</w:t>
            </w:r>
          </w:p>
        </w:tc>
        <w:tc>
          <w:tcPr>
            <w:tcW w:w="1890" w:type="dxa"/>
            <w:tcBorders>
              <w:top w:val="nil"/>
              <w:left w:val="single" w:color="auto" w:sz="4" w:space="0"/>
              <w:bottom w:val="single" w:color="auto" w:sz="4" w:space="0"/>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t>5</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r>
              <w:rPr>
                <w:lang w:eastAsia="fi-FI"/>
              </w:rPr>
              <w:t>10</w:t>
            </w:r>
          </w:p>
        </w:tc>
        <w:tc>
          <w:tcPr>
            <w:tcW w:w="1890" w:type="dxa"/>
            <w:tcBorders>
              <w:top w:val="nil"/>
              <w:left w:val="single" w:color="auto" w:sz="4" w:space="0"/>
              <w:bottom w:val="nil"/>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t>10</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r>
              <w:rPr>
                <w:lang w:eastAsia="fi-FI"/>
              </w:rPr>
              <w:t>15</w:t>
            </w:r>
          </w:p>
        </w:tc>
        <w:tc>
          <w:tcPr>
            <w:tcW w:w="1890" w:type="dxa"/>
            <w:tcBorders>
              <w:top w:val="nil"/>
              <w:left w:val="single" w:color="auto" w:sz="4" w:space="0"/>
              <w:bottom w:val="nil"/>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t>15</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r>
              <w:rPr>
                <w:lang w:eastAsia="fi-FI"/>
              </w:rPr>
              <w:t>20</w:t>
            </w:r>
          </w:p>
        </w:tc>
        <w:tc>
          <w:tcPr>
            <w:tcW w:w="1890" w:type="dxa"/>
            <w:tcBorders>
              <w:top w:val="nil"/>
              <w:left w:val="single" w:color="auto" w:sz="4" w:space="0"/>
              <w:bottom w:val="nil"/>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single" w:color="FFFFFF" w:themeColor="background1" w:sz="4" w:space="0"/>
              <w:right w:val="single" w:color="auto"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pPr>
            <w:r>
              <w:t>20</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r>
              <w:rPr>
                <w:lang w:eastAsia="fi-FI"/>
              </w:rPr>
              <w:t>35</w:t>
            </w:r>
          </w:p>
        </w:tc>
        <w:tc>
          <w:tcPr>
            <w:tcW w:w="1890" w:type="dxa"/>
            <w:tcBorders>
              <w:top w:val="nil"/>
              <w:left w:val="single" w:color="auto" w:sz="4" w:space="0"/>
              <w:bottom w:val="single" w:color="auto" w:sz="4" w:space="0"/>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lang w:val="en-US" w:eastAsia="zh-CN"/>
              </w:rPr>
            </w:pPr>
          </w:p>
        </w:tc>
        <w:tc>
          <w:tcPr>
            <w:tcW w:w="1876" w:type="dxa"/>
            <w:tcBorders>
              <w:top w:val="single" w:color="auto" w:sz="4" w:space="0"/>
              <w:left w:val="single" w:color="000000" w:themeColor="text1"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cs="Arial"/>
                <w:szCs w:val="18"/>
                <w:lang w:eastAsia="zh-CN"/>
              </w:rPr>
            </w:pPr>
            <w:r>
              <w:t>20</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cs="Arial"/>
                <w:szCs w:val="18"/>
                <w:lang w:eastAsia="zh-CN"/>
              </w:rPr>
            </w:pPr>
            <w:r>
              <w:rPr>
                <w:lang w:eastAsia="fi-FI"/>
              </w:rPr>
              <w:t>25, 30, 35</w:t>
            </w:r>
          </w:p>
        </w:tc>
        <w:tc>
          <w:tcPr>
            <w:tcW w:w="1890" w:type="dxa"/>
            <w:tcBorders>
              <w:top w:val="nil"/>
              <w:left w:val="single" w:color="auto" w:sz="4" w:space="0"/>
              <w:bottom w:val="single" w:color="auto" w:sz="4" w:space="0"/>
              <w:right w:val="single" w:color="auto" w:sz="4" w:space="0"/>
            </w:tcBorders>
            <w:shd w:val="clear" w:color="auto" w:fill="auto"/>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cs="Arial"/>
                <w:szCs w:val="18"/>
                <w:lang w:eastAsia="zh-CN"/>
              </w:rPr>
            </w:pPr>
            <w:r>
              <w:rPr>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color w:val="0000FF"/>
                <w:lang w:val="en-US" w:eastAsia="zh-CN"/>
              </w:rPr>
            </w:pPr>
            <w:r>
              <w:rPr>
                <w:rFonts w:hint="eastAsia"/>
                <w:color w:val="0000FF"/>
                <w:lang w:val="en-US" w:eastAsia="zh-CN"/>
              </w:rPr>
              <w:t>nX</w:t>
            </w:r>
          </w:p>
        </w:tc>
        <w:tc>
          <w:tcPr>
            <w:tcW w:w="1876"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color w:val="0000FF"/>
                <w:lang w:val="en-US" w:eastAsia="zh-CN"/>
              </w:rPr>
              <w:t>ffs</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color w:val="0000FF"/>
                <w:lang w:eastAsia="fi-FI"/>
              </w:rPr>
            </w:pPr>
            <w:r>
              <w:rPr>
                <w:rFonts w:hint="eastAsia"/>
                <w:color w:val="0000FF"/>
                <w:lang w:val="en-US" w:eastAsia="zh-CN"/>
              </w:rPr>
              <w:t>ffs</w:t>
            </w:r>
          </w:p>
        </w:tc>
        <w:tc>
          <w:tcPr>
            <w:tcW w:w="1890" w:type="dxa"/>
            <w:tcBorders>
              <w:top w:val="single" w:color="auto" w:sz="4" w:space="0"/>
              <w:left w:val="single" w:color="auto" w:sz="4" w:space="0"/>
              <w:bottom w:val="single" w:color="auto" w:sz="4" w:space="0"/>
              <w:right w:val="single" w:color="auto" w:sz="4" w:space="0"/>
            </w:tcBorders>
          </w:tcPr>
          <w:p>
            <w:pPr>
              <w:pStyle w:val="36"/>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cs="Arial"/>
                <w:color w:val="0000FF"/>
                <w:szCs w:val="18"/>
                <w:lang w:eastAsia="zh-CN"/>
              </w:rPr>
            </w:pPr>
            <w:r>
              <w:rPr>
                <w:rFonts w:hint="eastAsia" w:cs="Arial"/>
                <w:color w:val="0000FF"/>
                <w:szCs w:val="18"/>
                <w:lang w:eastAsia="zh-CN"/>
              </w:rPr>
              <w:t>0</w:t>
            </w:r>
          </w:p>
        </w:tc>
      </w:tr>
    </w:tbl>
    <w:p>
      <w:pPr>
        <w:keepNext w:val="0"/>
        <w:keepLines w:val="0"/>
        <w:pageBreakBefore w:val="0"/>
        <w:widowControl w:val="0"/>
        <w:suppressLineNumbers w:val="0"/>
        <w:kinsoku/>
        <w:wordWrap/>
        <w:topLinePunct w:val="0"/>
        <w:bidi w:val="0"/>
        <w:snapToGrid/>
        <w:jc w:val="left"/>
        <w:rPr>
          <w:rFonts w:hint="eastAsia"/>
          <w:b/>
          <w:bCs/>
          <w:i w:val="0"/>
          <w:iCs w:val="0"/>
          <w:u w:val="single"/>
          <w:lang w:val="en-US" w:eastAsia="zh-CN"/>
        </w:rPr>
      </w:pPr>
      <w:bookmarkStart w:id="9" w:name="OLE_LINK8"/>
    </w:p>
    <w:p>
      <w:pPr>
        <w:keepNext w:val="0"/>
        <w:keepLines w:val="0"/>
        <w:pageBreakBefore w:val="0"/>
        <w:widowControl w:val="0"/>
        <w:suppressLineNumbers w:val="0"/>
        <w:kinsoku/>
        <w:wordWrap/>
        <w:topLinePunct w:val="0"/>
        <w:bidi w:val="0"/>
        <w:snapToGrid/>
        <w:spacing w:before="120" w:beforeLines="0" w:after="120" w:afterLines="0"/>
        <w:jc w:val="left"/>
        <w:rPr>
          <w:rFonts w:hint="default"/>
          <w:b/>
          <w:bCs/>
          <w:i w:val="0"/>
          <w:iCs w:val="0"/>
          <w:u w:val="single"/>
          <w:lang w:val="en-US" w:eastAsia="zh-CN"/>
        </w:rPr>
      </w:pPr>
      <w:r>
        <w:rPr>
          <w:rFonts w:hint="eastAsia" w:cs="Times New Roman"/>
          <w:b/>
          <w:bCs/>
          <w:sz w:val="22"/>
          <w:szCs w:val="22"/>
          <w:lang w:val="en-US" w:eastAsia="zh-CN"/>
        </w:rPr>
        <w:t>Proposal 3</w:t>
      </w:r>
      <w:r>
        <w:rPr>
          <w:rFonts w:hint="eastAsia" w:cs="Times New Roman"/>
          <w:sz w:val="22"/>
          <w:szCs w:val="22"/>
          <w:lang w:val="en-US" w:eastAsia="zh-CN"/>
        </w:rPr>
        <w:t xml:space="preserve">: to further discuss the </w:t>
      </w:r>
      <w:r>
        <w:rPr>
          <w:rFonts w:hint="eastAsia"/>
          <w:b w:val="0"/>
          <w:bCs w:val="0"/>
          <w:i w:val="0"/>
          <w:iCs w:val="0"/>
          <w:lang w:val="en-US" w:eastAsia="zh-CN"/>
        </w:rPr>
        <w:t>asymmetric channel bandwidth set for APT600MHz.</w:t>
      </w:r>
    </w:p>
    <w:p>
      <w:pPr>
        <w:keepNext w:val="0"/>
        <w:keepLines w:val="0"/>
        <w:pageBreakBefore w:val="0"/>
        <w:widowControl w:val="0"/>
        <w:suppressLineNumbers w:val="0"/>
        <w:kinsoku/>
        <w:wordWrap/>
        <w:topLinePunct w:val="0"/>
        <w:bidi w:val="0"/>
        <w:snapToGrid/>
        <w:jc w:val="left"/>
        <w:outlineLvl w:val="1"/>
        <w:rPr>
          <w:rFonts w:hint="default"/>
          <w:b/>
          <w:bCs/>
          <w:i w:val="0"/>
          <w:iCs w:val="0"/>
          <w:u w:val="single"/>
          <w:lang w:val="en-US" w:eastAsia="zh-CN"/>
        </w:rPr>
      </w:pPr>
      <w:r>
        <w:rPr>
          <w:rFonts w:hint="eastAsia" w:ascii="Arial" w:hAnsi="Arial" w:cs="Arial"/>
          <w:sz w:val="28"/>
          <w:szCs w:val="28"/>
          <w:lang w:val="en-US" w:eastAsia="zh-CN"/>
        </w:rPr>
        <w:t>2.3. Channel raster and sync raster</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val="0"/>
          <w:bCs w:val="0"/>
          <w:i w:val="0"/>
          <w:iCs w:val="0"/>
          <w:lang w:val="en-US" w:eastAsia="zh-CN"/>
        </w:rPr>
        <w:t>For APT600MHz, its frequency ranges can be seen as the extension of band n71. Thus the channel raster should be the same as band n71, i.e. 100kHz to the simplify the UE implementation complexity for initial access. Similar reason could be also applied for sync raster of APT600MHz.</w:t>
      </w:r>
    </w:p>
    <w:p>
      <w:pPr>
        <w:keepNext w:val="0"/>
        <w:keepLines w:val="0"/>
        <w:pageBreakBefore w:val="0"/>
        <w:widowControl w:val="0"/>
        <w:suppressLineNumbers w:val="0"/>
        <w:kinsoku/>
        <w:wordWrap/>
        <w:topLinePunct w:val="0"/>
        <w:bidi w:val="0"/>
        <w:snapToGrid/>
        <w:jc w:val="left"/>
        <w:rPr>
          <w:rFonts w:hint="default"/>
          <w:b w:val="0"/>
          <w:bCs w:val="0"/>
          <w:i w:val="0"/>
          <w:iCs w:val="0"/>
          <w:lang w:val="en-US" w:eastAsia="zh-CN"/>
        </w:rPr>
      </w:pPr>
      <w:r>
        <w:rPr>
          <w:rFonts w:hint="eastAsia"/>
          <w:b/>
          <w:bCs/>
          <w:i w:val="0"/>
          <w:iCs w:val="0"/>
          <w:lang w:val="en-US" w:eastAsia="zh-CN"/>
        </w:rPr>
        <w:t>Proposal 4:</w:t>
      </w:r>
      <w:r>
        <w:rPr>
          <w:rFonts w:hint="eastAsia"/>
          <w:b w:val="0"/>
          <w:bCs w:val="0"/>
          <w:i w:val="0"/>
          <w:iCs w:val="0"/>
          <w:lang w:val="en-US" w:eastAsia="zh-CN"/>
        </w:rPr>
        <w:t xml:space="preserve"> to use the same channel raster 100kHz as n71 and the NR-ARFCN in the Table 2.3-1 and GSCN in Table 2.3-2.</w:t>
      </w:r>
    </w:p>
    <w:p>
      <w:pPr>
        <w:keepNext/>
        <w:keepLines/>
        <w:pageBreakBefore w:val="0"/>
        <w:widowControl/>
        <w:suppressLineNumbers w:val="0"/>
        <w:kinsoku/>
        <w:wordWrap/>
        <w:topLinePunct w:val="0"/>
        <w:bidi w:val="0"/>
        <w:ind w:firstLine="420" w:firstLineChars="0"/>
        <w:jc w:val="center"/>
        <w:rPr>
          <w:rFonts w:hint="default"/>
          <w:b/>
          <w:bCs/>
          <w:i w:val="0"/>
          <w:iCs w:val="0"/>
          <w:u w:val="none"/>
          <w:lang w:val="en-US" w:eastAsia="zh-CN"/>
        </w:rPr>
      </w:pPr>
      <w:r>
        <w:rPr>
          <w:rFonts w:hint="eastAsia"/>
          <w:b/>
          <w:bCs/>
          <w:i w:val="0"/>
          <w:iCs w:val="0"/>
          <w:u w:val="none"/>
          <w:lang w:val="en-US" w:eastAsia="zh-CN"/>
        </w:rPr>
        <w:t>Table 2.3-1. NR-ARFCN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NR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(kHz)</w:t>
            </w:r>
            <w:r>
              <w:rPr>
                <w:rFonts w:ascii="Arial" w:hAnsi="Arial" w:eastAsia="Times New Roman" w:cs="Times New Roman"/>
                <w:b/>
                <w:sz w:val="18"/>
                <w:vertAlign w:val="subscript"/>
                <w:lang w:val="en-GB" w:eastAsia="en-US" w:bidi="ar-SA"/>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132600</w:t>
            </w:r>
            <w:r>
              <w:rPr>
                <w:rFonts w:ascii="Arial" w:hAnsi="Arial" w:eastAsia="Yu Mincho" w:cs="Times New Roman"/>
                <w:sz w:val="18"/>
                <w:lang w:val="en-GB" w:eastAsia="en-US" w:bidi="ar-SA"/>
              </w:rPr>
              <w:t xml:space="preserve"> – &lt;20&gt; – 139600</w:t>
            </w:r>
          </w:p>
        </w:tc>
        <w:tc>
          <w:tcPr>
            <w:tcW w:w="287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123400</w:t>
            </w:r>
            <w:r>
              <w:rPr>
                <w:rFonts w:ascii="Arial" w:hAnsi="Arial" w:eastAsia="Yu Mincho" w:cs="Times New Roman"/>
                <w:sz w:val="18"/>
                <w:lang w:val="en-GB" w:eastAsia="en-US" w:bidi="ar-SA"/>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cs="Times New Roman"/>
                <w:color w:val="0000FF"/>
                <w:sz w:val="18"/>
                <w:lang w:val="en-US" w:eastAsia="zh-CN" w:bidi="ar-SA"/>
              </w:rPr>
            </w:pPr>
            <w:r>
              <w:rPr>
                <w:rFonts w:hint="eastAsia" w:ascii="Arial" w:hAnsi="Arial" w:eastAsia="宋体" w:cs="Times New Roman"/>
                <w:color w:val="0000FF"/>
                <w:sz w:val="18"/>
                <w:lang w:val="en-US" w:eastAsia="zh-CN" w:bidi="ar-SA"/>
              </w:rPr>
              <w:t>n105</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cs="Times New Roman"/>
                <w:color w:val="0000FF"/>
                <w:sz w:val="18"/>
                <w:lang w:val="en-US" w:eastAsia="zh-CN" w:bidi="ar-SA"/>
              </w:rPr>
            </w:pPr>
            <w:r>
              <w:rPr>
                <w:rFonts w:hint="eastAsia" w:ascii="Arial" w:hAnsi="Arial" w:eastAsia="宋体" w:cs="Times New Roman"/>
                <w:color w:val="0000FF"/>
                <w:sz w:val="18"/>
                <w:lang w:val="en-US" w:eastAsia="zh-CN" w:bidi="ar-SA"/>
              </w:rPr>
              <w:t>100</w:t>
            </w:r>
          </w:p>
        </w:tc>
        <w:tc>
          <w:tcPr>
            <w:tcW w:w="287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Times New Roman" w:cs="Times New Roman"/>
                <w:color w:val="0000FF"/>
                <w:sz w:val="18"/>
                <w:lang w:val="en-US" w:eastAsia="en-US" w:bidi="ar-SA"/>
              </w:rPr>
            </w:pPr>
            <w:r>
              <w:rPr>
                <w:rFonts w:hint="default" w:ascii="Arial" w:hAnsi="Arial" w:eastAsia="等线" w:cs="Arial"/>
                <w:i w:val="0"/>
                <w:iCs w:val="0"/>
                <w:color w:val="0000FF"/>
                <w:kern w:val="0"/>
                <w:sz w:val="18"/>
                <w:szCs w:val="18"/>
                <w:u w:val="none"/>
                <w:lang w:val="en-US" w:eastAsia="zh-CN" w:bidi="ar"/>
              </w:rPr>
              <w:t>132600 – &lt;</w:t>
            </w:r>
            <w:r>
              <w:rPr>
                <w:rFonts w:hint="eastAsia" w:ascii="Arial" w:hAnsi="Arial" w:eastAsia="等线" w:cs="Arial"/>
                <w:i w:val="0"/>
                <w:iCs w:val="0"/>
                <w:color w:val="0000FF"/>
                <w:kern w:val="0"/>
                <w:sz w:val="18"/>
                <w:szCs w:val="18"/>
                <w:u w:val="none"/>
                <w:lang w:val="en-US" w:eastAsia="zh-CN" w:bidi="ar"/>
              </w:rPr>
              <w:t>20</w:t>
            </w:r>
            <w:r>
              <w:rPr>
                <w:rFonts w:hint="default" w:ascii="Arial" w:hAnsi="Arial" w:eastAsia="等线" w:cs="Arial"/>
                <w:i w:val="0"/>
                <w:iCs w:val="0"/>
                <w:color w:val="0000FF"/>
                <w:kern w:val="0"/>
                <w:sz w:val="18"/>
                <w:szCs w:val="18"/>
                <w:u w:val="none"/>
                <w:lang w:val="en-US" w:eastAsia="zh-CN" w:bidi="ar"/>
              </w:rPr>
              <w:t>&gt; – 140</w:t>
            </w:r>
            <w:r>
              <w:rPr>
                <w:rFonts w:hint="eastAsia" w:ascii="Arial" w:hAnsi="Arial" w:eastAsia="等线" w:cs="Arial"/>
                <w:i w:val="0"/>
                <w:iCs w:val="0"/>
                <w:color w:val="0000FF"/>
                <w:kern w:val="0"/>
                <w:sz w:val="18"/>
                <w:szCs w:val="18"/>
                <w:u w:val="none"/>
                <w:lang w:val="en-US" w:eastAsia="zh-CN" w:bidi="ar"/>
              </w:rPr>
              <w:t>600</w:t>
            </w:r>
          </w:p>
        </w:tc>
        <w:tc>
          <w:tcPr>
            <w:tcW w:w="287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cs="Times New Roman"/>
                <w:color w:val="0000FF"/>
                <w:sz w:val="18"/>
                <w:lang w:val="en-GB" w:eastAsia="en-US" w:bidi="ar-SA"/>
              </w:rPr>
            </w:pPr>
            <w:r>
              <w:rPr>
                <w:rFonts w:hint="default" w:ascii="Arial" w:hAnsi="Arial" w:eastAsia="等线" w:cs="Arial"/>
                <w:i w:val="0"/>
                <w:iCs w:val="0"/>
                <w:color w:val="0000FF"/>
                <w:kern w:val="0"/>
                <w:sz w:val="18"/>
                <w:szCs w:val="18"/>
                <w:u w:val="none"/>
                <w:lang w:val="en-US" w:eastAsia="zh-CN" w:bidi="ar"/>
              </w:rPr>
              <w:t>122400 – &lt;</w:t>
            </w:r>
            <w:r>
              <w:rPr>
                <w:rFonts w:hint="eastAsia" w:ascii="Arial" w:hAnsi="Arial" w:eastAsia="等线" w:cs="Arial"/>
                <w:i w:val="0"/>
                <w:iCs w:val="0"/>
                <w:color w:val="0000FF"/>
                <w:kern w:val="0"/>
                <w:sz w:val="18"/>
                <w:szCs w:val="18"/>
                <w:u w:val="none"/>
                <w:lang w:val="en-US" w:eastAsia="zh-CN" w:bidi="ar"/>
              </w:rPr>
              <w:t>20</w:t>
            </w:r>
            <w:r>
              <w:rPr>
                <w:rFonts w:hint="default" w:ascii="Arial" w:hAnsi="Arial" w:eastAsia="等线" w:cs="Arial"/>
                <w:i w:val="0"/>
                <w:iCs w:val="0"/>
                <w:color w:val="0000FF"/>
                <w:kern w:val="0"/>
                <w:sz w:val="18"/>
                <w:szCs w:val="18"/>
                <w:u w:val="none"/>
                <w:lang w:val="en-US" w:eastAsia="zh-CN" w:bidi="ar"/>
              </w:rPr>
              <w:t>&gt; – 130</w:t>
            </w:r>
            <w:r>
              <w:rPr>
                <w:rFonts w:hint="eastAsia" w:ascii="Arial" w:hAnsi="Arial" w:eastAsia="等线" w:cs="Arial"/>
                <w:i w:val="0"/>
                <w:iCs w:val="0"/>
                <w:color w:val="0000FF"/>
                <w:kern w:val="0"/>
                <w:sz w:val="18"/>
                <w:szCs w:val="18"/>
                <w:u w:val="none"/>
                <w:lang w:val="en-US" w:eastAsia="zh-CN" w:bidi="ar"/>
              </w:rPr>
              <w:t>400</w:t>
            </w:r>
          </w:p>
        </w:tc>
      </w:tr>
    </w:tbl>
    <w:p>
      <w:pPr>
        <w:keepNext/>
        <w:keepLines/>
        <w:pageBreakBefore w:val="0"/>
        <w:widowControl/>
        <w:suppressLineNumbers w:val="0"/>
        <w:kinsoku/>
        <w:wordWrap/>
        <w:topLinePunct w:val="0"/>
        <w:bidi w:val="0"/>
        <w:ind w:firstLine="420" w:firstLineChars="0"/>
        <w:jc w:val="center"/>
        <w:rPr>
          <w:rFonts w:hint="eastAsia"/>
          <w:b/>
          <w:bCs/>
          <w:i w:val="0"/>
          <w:iCs w:val="0"/>
          <w:u w:val="none"/>
          <w:lang w:val="en-US" w:eastAsia="zh-CN"/>
        </w:rPr>
      </w:pPr>
      <w:r>
        <w:rPr>
          <w:rFonts w:hint="eastAsia"/>
          <w:b/>
          <w:bCs/>
          <w:i w:val="0"/>
          <w:iCs w:val="0"/>
          <w:u w:val="none"/>
          <w:lang w:val="en-US" w:eastAsia="zh-CN"/>
        </w:rPr>
        <w:t>Table 2.3-2. Applicable SS raster entries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Range of GSCN</w:t>
            </w:r>
          </w:p>
          <w:p>
            <w:pPr>
              <w:pStyle w:val="3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t>n71</w:t>
            </w:r>
          </w:p>
        </w:tc>
        <w:tc>
          <w:tcPr>
            <w:tcW w:w="2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r>
              <w:t>15 kHz</w:t>
            </w:r>
          </w:p>
        </w:tc>
        <w:tc>
          <w:tcPr>
            <w:tcW w:w="2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eastAsia="宋体"/>
                <w:color w:val="0000FF"/>
                <w:lang w:val="en-US" w:eastAsia="zh-CN"/>
              </w:rPr>
              <w:t>n105</w:t>
            </w:r>
          </w:p>
        </w:tc>
        <w:tc>
          <w:tcPr>
            <w:tcW w:w="2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r>
              <w:rPr>
                <w:color w:val="0000FF"/>
              </w:rPr>
              <w:t>15 kHz</w:t>
            </w:r>
          </w:p>
        </w:tc>
        <w:tc>
          <w:tcPr>
            <w:tcW w:w="2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lang w:val="en-US" w:eastAsia="zh-CN"/>
              </w:rPr>
            </w:pPr>
            <w:r>
              <w:rPr>
                <w:color w:val="0000FF"/>
                <w:lang w:val="en-US" w:eastAsia="zh-CN"/>
              </w:rPr>
              <w:t xml:space="preserve">Case </w:t>
            </w:r>
            <w:r>
              <w:rPr>
                <w:rFonts w:hint="eastAsia"/>
                <w:color w:val="0000FF"/>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r>
              <w:rPr>
                <w:rFonts w:hint="eastAsia"/>
                <w:color w:val="0000FF"/>
                <w:lang w:val="en-US" w:eastAsia="zh-CN"/>
              </w:rPr>
              <w:t>1535</w:t>
            </w:r>
            <w:r>
              <w:rPr>
                <w:color w:val="0000FF"/>
              </w:rPr>
              <w:t xml:space="preserve"> – &lt;1&gt; – </w:t>
            </w:r>
            <w:r>
              <w:rPr>
                <w:rFonts w:hint="eastAsia"/>
                <w:color w:val="0000FF"/>
                <w:lang w:val="en-US" w:eastAsia="zh-CN"/>
              </w:rPr>
              <w:t>1624</w:t>
            </w:r>
          </w:p>
        </w:tc>
      </w:tr>
      <w:bookmarkEnd w:id="9"/>
    </w:tbl>
    <w:p>
      <w:pPr>
        <w:spacing w:before="120" w:beforeLines="0" w:after="120" w:afterLines="0"/>
        <w:ind w:firstLine="0" w:firstLineChars="0"/>
        <w:jc w:val="left"/>
        <w:rPr>
          <w:rFonts w:hint="default" w:eastAsia="Times New Roman" w:cs="Times New Roman"/>
          <w:kern w:val="0"/>
          <w:sz w:val="20"/>
          <w:szCs w:val="20"/>
          <w:highlight w:val="none"/>
          <w:lang w:val="en-US" w:eastAsia="zh-CN" w:bidi="ar-SA"/>
        </w:rPr>
      </w:pPr>
      <w:r>
        <w:rPr>
          <w:rFonts w:hint="eastAsia"/>
          <w:b w:val="0"/>
          <w:bCs w:val="0"/>
          <w:i w:val="0"/>
          <w:iCs w:val="0"/>
          <w:lang w:val="en-US" w:eastAsia="zh-CN"/>
        </w:rPr>
        <w:t>.</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initial views </w:t>
      </w:r>
      <w:r>
        <w:rPr>
          <w:rFonts w:hint="eastAsia"/>
          <w:lang w:val="en-US" w:eastAsia="zh-CN"/>
        </w:rPr>
        <w:t>from system parameter perspective for APT600MHz</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define the band in Table 2.1-1 for APT600MHz.</w:t>
      </w:r>
    </w:p>
    <w:p>
      <w:pPr>
        <w:keepNext w:val="0"/>
        <w:keepLines w:val="0"/>
        <w:pageBreakBefore w:val="0"/>
        <w:widowControl w:val="0"/>
        <w:suppressLineNumbers w:val="0"/>
        <w:kinsoku/>
        <w:wordWrap/>
        <w:topLinePunct w:val="0"/>
        <w:bidi w:val="0"/>
        <w:spacing w:before="120" w:beforeLines="0" w:after="120" w:afterLines="0"/>
        <w:ind w:firstLine="0" w:firstLineChars="0"/>
        <w:jc w:val="left"/>
        <w:rPr>
          <w:rFonts w:hint="default"/>
          <w:b/>
          <w:bCs/>
          <w:i w:val="0"/>
          <w:iCs w:val="0"/>
          <w:u w:val="single"/>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xml:space="preserve">: to define the supported channel bandwidth for APT600MHz as in Table 2.2-1 and Table 2.2-2 and further discuss the applicability of </w:t>
      </w:r>
      <w:r>
        <w:rPr>
          <w:rFonts w:hint="eastAsia"/>
          <w:b w:val="0"/>
          <w:bCs w:val="0"/>
          <w:i w:val="0"/>
          <w:iCs w:val="0"/>
          <w:lang w:val="en-US" w:eastAsia="zh-CN"/>
        </w:rPr>
        <w:t>NOTE 4 in Table 2.2-1 for n105.</w:t>
      </w:r>
    </w:p>
    <w:p>
      <w:pPr>
        <w:keepNext w:val="0"/>
        <w:keepLines w:val="0"/>
        <w:pageBreakBefore w:val="0"/>
        <w:widowControl w:val="0"/>
        <w:suppressLineNumbers w:val="0"/>
        <w:kinsoku/>
        <w:wordWrap/>
        <w:topLinePunct w:val="0"/>
        <w:bidi w:val="0"/>
        <w:spacing w:before="120" w:beforeLines="0" w:after="120" w:afterLines="0"/>
        <w:ind w:firstLine="0" w:firstLineChars="0"/>
        <w:jc w:val="left"/>
        <w:rPr>
          <w:rFonts w:hint="default"/>
          <w:b/>
          <w:bCs/>
          <w:i w:val="0"/>
          <w:iCs w:val="0"/>
          <w:u w:val="single"/>
          <w:lang w:val="en-US" w:eastAsia="zh-CN"/>
        </w:rPr>
      </w:pPr>
      <w:r>
        <w:rPr>
          <w:rFonts w:hint="eastAsia" w:cs="Times New Roman"/>
          <w:b/>
          <w:bCs/>
          <w:sz w:val="22"/>
          <w:szCs w:val="22"/>
          <w:lang w:val="en-US" w:eastAsia="zh-CN"/>
        </w:rPr>
        <w:t>Proposal 3</w:t>
      </w:r>
      <w:r>
        <w:rPr>
          <w:rFonts w:hint="eastAsia" w:cs="Times New Roman"/>
          <w:sz w:val="22"/>
          <w:szCs w:val="22"/>
          <w:lang w:val="en-US" w:eastAsia="zh-CN"/>
        </w:rPr>
        <w:t xml:space="preserve">: to further discuss the </w:t>
      </w:r>
      <w:r>
        <w:rPr>
          <w:rFonts w:hint="eastAsia"/>
          <w:b w:val="0"/>
          <w:bCs w:val="0"/>
          <w:i w:val="0"/>
          <w:iCs w:val="0"/>
          <w:lang w:val="en-US" w:eastAsia="zh-CN"/>
        </w:rPr>
        <w:t>asymmetric channel bandwidth set for APT600MHz</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b/>
          <w:bCs/>
          <w:i w:val="0"/>
          <w:iCs w:val="0"/>
          <w:lang w:val="en-US" w:eastAsia="zh-CN"/>
        </w:rPr>
        <w:t>Proposal 4:</w:t>
      </w:r>
      <w:r>
        <w:rPr>
          <w:rFonts w:hint="eastAsia"/>
          <w:b w:val="0"/>
          <w:bCs w:val="0"/>
          <w:i w:val="0"/>
          <w:iCs w:val="0"/>
          <w:lang w:val="en-US" w:eastAsia="zh-CN"/>
        </w:rPr>
        <w:t xml:space="preserve"> to use the same channel raster 100kHz as n71 and the NR-ARFCN in the Table 2.3-1 and GSCN in Table 2.3-2.</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5"/>
        </w:numPr>
        <w:rPr>
          <w:rFonts w:hint="eastAsia"/>
          <w:sz w:val="20"/>
          <w:szCs w:val="20"/>
          <w:highlight w:val="none"/>
          <w:lang w:val="en-US" w:eastAsia="zh-CN"/>
        </w:rPr>
      </w:pPr>
      <w:r>
        <w:rPr>
          <w:rFonts w:hint="eastAsia"/>
          <w:sz w:val="20"/>
          <w:szCs w:val="20"/>
          <w:highlight w:val="none"/>
          <w:lang w:val="en-US" w:eastAsia="zh-CN"/>
        </w:rPr>
        <w:t xml:space="preserve">TR38.860, </w:t>
      </w:r>
      <w:r>
        <w:rPr>
          <w:rFonts w:hint="eastAsia"/>
          <w:sz w:val="20"/>
          <w:szCs w:val="20"/>
          <w:highlight w:val="none"/>
        </w:rPr>
        <w:t>Study on Extended 600 MHz NR band</w:t>
      </w:r>
      <w:r>
        <w:rPr>
          <w:rFonts w:hint="eastAsia"/>
          <w:sz w:val="20"/>
          <w:szCs w:val="20"/>
          <w:highlight w:val="none"/>
          <w:lang w:val="en-US" w:eastAsia="zh-CN"/>
        </w:rPr>
        <w:t>, v17.0.0</w:t>
      </w:r>
    </w:p>
    <w:p>
      <w:pPr>
        <w:pStyle w:val="53"/>
        <w:numPr>
          <w:ilvl w:val="0"/>
          <w:numId w:val="5"/>
        </w:numPr>
        <w:rPr>
          <w:rFonts w:hint="eastAsia"/>
          <w:sz w:val="20"/>
          <w:szCs w:val="20"/>
          <w:highlight w:val="none"/>
          <w:lang w:val="en-US"/>
        </w:rPr>
      </w:pPr>
      <w:r>
        <w:rPr>
          <w:rFonts w:hint="eastAsia"/>
          <w:sz w:val="20"/>
          <w:szCs w:val="20"/>
          <w:highlight w:val="none"/>
          <w:lang w:val="en-US"/>
        </w:rPr>
        <w:t>R</w:t>
      </w:r>
      <w:r>
        <w:rPr>
          <w:rFonts w:hint="eastAsia"/>
          <w:sz w:val="20"/>
          <w:szCs w:val="20"/>
          <w:highlight w:val="none"/>
          <w:lang w:val="en-US" w:eastAsia="zh-CN"/>
        </w:rPr>
        <w:t>P</w:t>
      </w:r>
      <w:r>
        <w:rPr>
          <w:rFonts w:hint="eastAsia"/>
          <w:sz w:val="20"/>
          <w:szCs w:val="20"/>
          <w:highlight w:val="none"/>
          <w:lang w:val="en-US"/>
        </w:rPr>
        <w:t>-</w:t>
      </w:r>
      <w:r>
        <w:rPr>
          <w:rFonts w:hint="eastAsia"/>
          <w:sz w:val="20"/>
          <w:szCs w:val="20"/>
          <w:highlight w:val="none"/>
          <w:lang w:val="en-US" w:eastAsia="zh-CN"/>
        </w:rPr>
        <w:t xml:space="preserve">221778, </w:t>
      </w:r>
      <w:r>
        <w:rPr>
          <w:rFonts w:hint="eastAsia"/>
          <w:sz w:val="20"/>
          <w:szCs w:val="20"/>
          <w:highlight w:val="none"/>
          <w:lang w:eastAsia="zh-CN"/>
        </w:rPr>
        <w:t>New WID on APT 600 MHz</w:t>
      </w:r>
      <w:r>
        <w:rPr>
          <w:rFonts w:hint="eastAsia"/>
          <w:sz w:val="20"/>
          <w:szCs w:val="20"/>
          <w:highlight w:val="none"/>
        </w:rPr>
        <w:t xml:space="preserve"> NR band</w:t>
      </w:r>
      <w:r>
        <w:rPr>
          <w:rFonts w:hint="eastAsia"/>
          <w:sz w:val="20"/>
          <w:szCs w:val="20"/>
          <w:highlight w:val="none"/>
          <w:lang w:val="en-US" w:eastAsia="zh-CN"/>
        </w:rPr>
        <w:t xml:space="preserve">, </w:t>
      </w:r>
      <w:r>
        <w:rPr>
          <w:rFonts w:hint="eastAsia"/>
          <w:sz w:val="20"/>
          <w:szCs w:val="20"/>
          <w:highlight w:val="none"/>
        </w:rPr>
        <w:t>Spark NZ</w:t>
      </w:r>
      <w:r>
        <w:rPr>
          <w:rFonts w:hint="eastAsia"/>
          <w:sz w:val="20"/>
          <w:szCs w:val="20"/>
          <w:highlight w:val="none"/>
          <w:lang w:val="en-US" w:eastAsia="zh-CN"/>
        </w:rPr>
        <w:t xml:space="preserve">, </w:t>
      </w:r>
      <w:r>
        <w:rPr>
          <w:rFonts w:hint="eastAsia"/>
          <w:sz w:val="20"/>
          <w:szCs w:val="20"/>
          <w:highlight w:val="none"/>
          <w:lang w:val="en-US"/>
        </w:rPr>
        <w:t>Qualcomm Incorporated</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 xml:space="preserve">TR36.775, </w:t>
      </w:r>
      <w:r>
        <w:rPr>
          <w:rFonts w:hint="eastAsia"/>
          <w:sz w:val="20"/>
          <w:szCs w:val="20"/>
          <w:highlight w:val="none"/>
          <w:lang w:eastAsia="zh-CN"/>
        </w:rPr>
        <w:t>US 600 MHz Band for LTE</w:t>
      </w:r>
      <w:r>
        <w:rPr>
          <w:rFonts w:hint="eastAsia"/>
          <w:sz w:val="20"/>
          <w:szCs w:val="20"/>
          <w:highlight w:val="none"/>
          <w:lang w:val="en-US" w:eastAsia="zh-CN"/>
        </w:rPr>
        <w:t>, v15.0.0</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79123F"/>
    <w:multiLevelType w:val="multilevel"/>
    <w:tmpl w:val="0D79123F"/>
    <w:lvl w:ilvl="0" w:tentative="0">
      <w:start w:val="1"/>
      <w:numFmt w:val="bullet"/>
      <w:lvlText w:val="–"/>
      <w:lvlJc w:val="left"/>
      <w:pPr>
        <w:ind w:left="420" w:hanging="420"/>
      </w:pPr>
      <w:rPr>
        <w:rFonts w:hint="eastAsia" w:ascii="ＭＳ 明朝" w:hAnsi="ＭＳ 明朝" w:eastAsia="ＭＳ 明朝"/>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E4F7983"/>
    <w:multiLevelType w:val="multilevel"/>
    <w:tmpl w:val="4E4F7983"/>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1167614"/>
    <w:multiLevelType w:val="multilevel"/>
    <w:tmpl w:val="511676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442D89"/>
    <w:rsid w:val="01522256"/>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252C8"/>
    <w:rsid w:val="03774924"/>
    <w:rsid w:val="03822F79"/>
    <w:rsid w:val="0395764C"/>
    <w:rsid w:val="039B69FD"/>
    <w:rsid w:val="03A32E58"/>
    <w:rsid w:val="03C0647A"/>
    <w:rsid w:val="03C6618A"/>
    <w:rsid w:val="03CD06E1"/>
    <w:rsid w:val="03CD6E1F"/>
    <w:rsid w:val="03D3772A"/>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CC2223"/>
    <w:rsid w:val="04D66461"/>
    <w:rsid w:val="04E06510"/>
    <w:rsid w:val="051034CD"/>
    <w:rsid w:val="051F43BC"/>
    <w:rsid w:val="051F61A1"/>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6627C"/>
    <w:rsid w:val="05F662C2"/>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30672"/>
    <w:rsid w:val="06F35A7A"/>
    <w:rsid w:val="06F35AB6"/>
    <w:rsid w:val="06F66B05"/>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8F6FFB"/>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3018"/>
    <w:rsid w:val="08B94847"/>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81444"/>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11C01"/>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CF5634C"/>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3712E"/>
    <w:rsid w:val="0D6A353C"/>
    <w:rsid w:val="0D826C81"/>
    <w:rsid w:val="0D904522"/>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17518"/>
    <w:rsid w:val="0E3217E8"/>
    <w:rsid w:val="0E387AA5"/>
    <w:rsid w:val="0E3F0E9A"/>
    <w:rsid w:val="0E400D03"/>
    <w:rsid w:val="0E485C9B"/>
    <w:rsid w:val="0E4D4B22"/>
    <w:rsid w:val="0E5E2B07"/>
    <w:rsid w:val="0E752596"/>
    <w:rsid w:val="0E771E51"/>
    <w:rsid w:val="0E796EA0"/>
    <w:rsid w:val="0E7A2A61"/>
    <w:rsid w:val="0E7C0762"/>
    <w:rsid w:val="0E8118C0"/>
    <w:rsid w:val="0E8A599D"/>
    <w:rsid w:val="0E9A17E3"/>
    <w:rsid w:val="0EA11114"/>
    <w:rsid w:val="0EA35AC0"/>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1621E"/>
    <w:rsid w:val="0F0752A8"/>
    <w:rsid w:val="0F0D240A"/>
    <w:rsid w:val="0F0E2F3A"/>
    <w:rsid w:val="0F12247A"/>
    <w:rsid w:val="0F1D0ECD"/>
    <w:rsid w:val="0F1F007A"/>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6E81"/>
    <w:rsid w:val="0FA615E1"/>
    <w:rsid w:val="0FAD0019"/>
    <w:rsid w:val="0FAD3299"/>
    <w:rsid w:val="0FAD3F5A"/>
    <w:rsid w:val="0FB11EE4"/>
    <w:rsid w:val="0FB261C9"/>
    <w:rsid w:val="0FB31343"/>
    <w:rsid w:val="0FC12836"/>
    <w:rsid w:val="0FD95333"/>
    <w:rsid w:val="0FEB0378"/>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94C35"/>
    <w:rsid w:val="11AA61BD"/>
    <w:rsid w:val="11AC7561"/>
    <w:rsid w:val="11AE6531"/>
    <w:rsid w:val="11AF439E"/>
    <w:rsid w:val="11B50817"/>
    <w:rsid w:val="11B66269"/>
    <w:rsid w:val="11B95CC7"/>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6405F6"/>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F51028"/>
    <w:rsid w:val="14F549EC"/>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60C437B"/>
    <w:rsid w:val="160F16A2"/>
    <w:rsid w:val="161033BE"/>
    <w:rsid w:val="16160429"/>
    <w:rsid w:val="161C3234"/>
    <w:rsid w:val="16277570"/>
    <w:rsid w:val="163562A4"/>
    <w:rsid w:val="1641433F"/>
    <w:rsid w:val="164B2B96"/>
    <w:rsid w:val="164D6264"/>
    <w:rsid w:val="165511E0"/>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E4288"/>
    <w:rsid w:val="175F6489"/>
    <w:rsid w:val="17650A34"/>
    <w:rsid w:val="17652ACF"/>
    <w:rsid w:val="176C704A"/>
    <w:rsid w:val="177653C5"/>
    <w:rsid w:val="17844C56"/>
    <w:rsid w:val="178A60FC"/>
    <w:rsid w:val="179559A6"/>
    <w:rsid w:val="17957384"/>
    <w:rsid w:val="17A30F12"/>
    <w:rsid w:val="17BA48D6"/>
    <w:rsid w:val="17C0378A"/>
    <w:rsid w:val="17C535A1"/>
    <w:rsid w:val="17CC1D1C"/>
    <w:rsid w:val="17CD4A3A"/>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21B7F"/>
    <w:rsid w:val="18533B98"/>
    <w:rsid w:val="18611739"/>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A7296F"/>
    <w:rsid w:val="19B94DE5"/>
    <w:rsid w:val="19BB7983"/>
    <w:rsid w:val="19CA4702"/>
    <w:rsid w:val="19D76F77"/>
    <w:rsid w:val="19DE7440"/>
    <w:rsid w:val="19ED386F"/>
    <w:rsid w:val="19FF1298"/>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B1C07"/>
    <w:rsid w:val="1B2F42C3"/>
    <w:rsid w:val="1B324397"/>
    <w:rsid w:val="1B372EB9"/>
    <w:rsid w:val="1B39636C"/>
    <w:rsid w:val="1B40005E"/>
    <w:rsid w:val="1B4268B4"/>
    <w:rsid w:val="1B427936"/>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EB4BB9"/>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287E58"/>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943BF0"/>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200B5"/>
    <w:rsid w:val="22AA0362"/>
    <w:rsid w:val="22AA773F"/>
    <w:rsid w:val="22B059F5"/>
    <w:rsid w:val="22B06BDB"/>
    <w:rsid w:val="22B63FB8"/>
    <w:rsid w:val="22BA2D5C"/>
    <w:rsid w:val="22BA6F2B"/>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80B4D"/>
    <w:rsid w:val="244F2484"/>
    <w:rsid w:val="24506BD9"/>
    <w:rsid w:val="24550926"/>
    <w:rsid w:val="24574CEB"/>
    <w:rsid w:val="245D41D2"/>
    <w:rsid w:val="24667266"/>
    <w:rsid w:val="246E676E"/>
    <w:rsid w:val="24731A96"/>
    <w:rsid w:val="247A5C3A"/>
    <w:rsid w:val="247C5EE2"/>
    <w:rsid w:val="247C7B9E"/>
    <w:rsid w:val="247E1CE1"/>
    <w:rsid w:val="247F6CC6"/>
    <w:rsid w:val="24837A35"/>
    <w:rsid w:val="248654B3"/>
    <w:rsid w:val="248907B2"/>
    <w:rsid w:val="248C0528"/>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D1CBA"/>
    <w:rsid w:val="27462901"/>
    <w:rsid w:val="2749419F"/>
    <w:rsid w:val="274A7B1A"/>
    <w:rsid w:val="275439E1"/>
    <w:rsid w:val="275658F1"/>
    <w:rsid w:val="276320D7"/>
    <w:rsid w:val="276F3D3A"/>
    <w:rsid w:val="27744B4E"/>
    <w:rsid w:val="278A6416"/>
    <w:rsid w:val="27907336"/>
    <w:rsid w:val="279408D2"/>
    <w:rsid w:val="279A2ED3"/>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3832F0"/>
    <w:rsid w:val="283A1E3E"/>
    <w:rsid w:val="284543A1"/>
    <w:rsid w:val="28553E1D"/>
    <w:rsid w:val="2866568E"/>
    <w:rsid w:val="28693318"/>
    <w:rsid w:val="286B3B61"/>
    <w:rsid w:val="28765DD5"/>
    <w:rsid w:val="28821314"/>
    <w:rsid w:val="2891501A"/>
    <w:rsid w:val="28937E6D"/>
    <w:rsid w:val="28A66523"/>
    <w:rsid w:val="28AD2029"/>
    <w:rsid w:val="28AE4FA7"/>
    <w:rsid w:val="28B220F4"/>
    <w:rsid w:val="28BD44AE"/>
    <w:rsid w:val="28C075A4"/>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81CF5"/>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B34AB"/>
    <w:rsid w:val="2B914C5E"/>
    <w:rsid w:val="2BA252E6"/>
    <w:rsid w:val="2BA53554"/>
    <w:rsid w:val="2BB44220"/>
    <w:rsid w:val="2BB61EA7"/>
    <w:rsid w:val="2BBA6EF5"/>
    <w:rsid w:val="2BBD5502"/>
    <w:rsid w:val="2BC03979"/>
    <w:rsid w:val="2BC941AF"/>
    <w:rsid w:val="2BDC02CD"/>
    <w:rsid w:val="2BE64A3E"/>
    <w:rsid w:val="2BEC4F7F"/>
    <w:rsid w:val="2BF01DD3"/>
    <w:rsid w:val="2BF51B27"/>
    <w:rsid w:val="2C027101"/>
    <w:rsid w:val="2C047EF1"/>
    <w:rsid w:val="2C11705A"/>
    <w:rsid w:val="2C1216FD"/>
    <w:rsid w:val="2C1F2C4F"/>
    <w:rsid w:val="2C253658"/>
    <w:rsid w:val="2C395B9E"/>
    <w:rsid w:val="2C3B4053"/>
    <w:rsid w:val="2C3D433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42637A"/>
    <w:rsid w:val="2D540857"/>
    <w:rsid w:val="2D590555"/>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5543D1"/>
    <w:rsid w:val="34594FC6"/>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3F7FE8"/>
    <w:rsid w:val="37446333"/>
    <w:rsid w:val="37446A77"/>
    <w:rsid w:val="374D0B20"/>
    <w:rsid w:val="37557969"/>
    <w:rsid w:val="375D4473"/>
    <w:rsid w:val="37615F3C"/>
    <w:rsid w:val="376B106B"/>
    <w:rsid w:val="377963D6"/>
    <w:rsid w:val="37840F0B"/>
    <w:rsid w:val="378772DD"/>
    <w:rsid w:val="378A731A"/>
    <w:rsid w:val="378D7467"/>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661F9"/>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443D4B"/>
    <w:rsid w:val="3A4B68EC"/>
    <w:rsid w:val="3A616CAD"/>
    <w:rsid w:val="3A711C68"/>
    <w:rsid w:val="3A7927E8"/>
    <w:rsid w:val="3A796E46"/>
    <w:rsid w:val="3A8B3C77"/>
    <w:rsid w:val="3A971F5B"/>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615E1"/>
    <w:rsid w:val="3C3B0B4B"/>
    <w:rsid w:val="3C3C3ACF"/>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2303B"/>
    <w:rsid w:val="3E583BB7"/>
    <w:rsid w:val="3E5A1D01"/>
    <w:rsid w:val="3E5B12DC"/>
    <w:rsid w:val="3E623E46"/>
    <w:rsid w:val="3E63159D"/>
    <w:rsid w:val="3E667FB0"/>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2F01F0"/>
    <w:rsid w:val="3F3C6744"/>
    <w:rsid w:val="3F421D47"/>
    <w:rsid w:val="3F441B08"/>
    <w:rsid w:val="3F4A4087"/>
    <w:rsid w:val="3F5361F5"/>
    <w:rsid w:val="3F556D23"/>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74BCF"/>
    <w:rsid w:val="412506DF"/>
    <w:rsid w:val="413B1BAB"/>
    <w:rsid w:val="41434504"/>
    <w:rsid w:val="4149456B"/>
    <w:rsid w:val="414C1126"/>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449AF"/>
    <w:rsid w:val="42C5796D"/>
    <w:rsid w:val="42D67001"/>
    <w:rsid w:val="42E06A10"/>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92DF3"/>
    <w:rsid w:val="44F82D0E"/>
    <w:rsid w:val="451C5E9C"/>
    <w:rsid w:val="45214561"/>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B634C"/>
    <w:rsid w:val="459F2381"/>
    <w:rsid w:val="45A74FA6"/>
    <w:rsid w:val="45B315CE"/>
    <w:rsid w:val="45B64B84"/>
    <w:rsid w:val="45C85EA2"/>
    <w:rsid w:val="45CA5FF2"/>
    <w:rsid w:val="45E37678"/>
    <w:rsid w:val="45E526A6"/>
    <w:rsid w:val="45E56E31"/>
    <w:rsid w:val="45E66893"/>
    <w:rsid w:val="45E826B2"/>
    <w:rsid w:val="45F4334C"/>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C05E0E"/>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75FB2"/>
    <w:rsid w:val="4ABB3CDE"/>
    <w:rsid w:val="4AC4256B"/>
    <w:rsid w:val="4AC860DD"/>
    <w:rsid w:val="4AD162A8"/>
    <w:rsid w:val="4AD25C89"/>
    <w:rsid w:val="4AD768C6"/>
    <w:rsid w:val="4AE0796F"/>
    <w:rsid w:val="4AE30444"/>
    <w:rsid w:val="4AE31B85"/>
    <w:rsid w:val="4AEF0F11"/>
    <w:rsid w:val="4AF902F5"/>
    <w:rsid w:val="4AF94D42"/>
    <w:rsid w:val="4AFE29DE"/>
    <w:rsid w:val="4B0107DC"/>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037DE"/>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C2FE2"/>
    <w:rsid w:val="4C6D5BD4"/>
    <w:rsid w:val="4C77619E"/>
    <w:rsid w:val="4C7D00C0"/>
    <w:rsid w:val="4C860543"/>
    <w:rsid w:val="4C8740CC"/>
    <w:rsid w:val="4C8E3254"/>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F4840"/>
    <w:rsid w:val="4D410392"/>
    <w:rsid w:val="4D422D07"/>
    <w:rsid w:val="4D427BBD"/>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DF27815"/>
    <w:rsid w:val="4E007E98"/>
    <w:rsid w:val="4E016672"/>
    <w:rsid w:val="4E066F25"/>
    <w:rsid w:val="4E0939E5"/>
    <w:rsid w:val="4E176DF3"/>
    <w:rsid w:val="4E1A2F68"/>
    <w:rsid w:val="4E1E7D0E"/>
    <w:rsid w:val="4E210A5C"/>
    <w:rsid w:val="4E396386"/>
    <w:rsid w:val="4E3A2C21"/>
    <w:rsid w:val="4E412A4D"/>
    <w:rsid w:val="4E4221EC"/>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8B2D64"/>
    <w:rsid w:val="5195134A"/>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F0051"/>
    <w:rsid w:val="52FC1C88"/>
    <w:rsid w:val="53047263"/>
    <w:rsid w:val="53112C1D"/>
    <w:rsid w:val="531241BA"/>
    <w:rsid w:val="53155215"/>
    <w:rsid w:val="531621BA"/>
    <w:rsid w:val="531D0F10"/>
    <w:rsid w:val="53207ABD"/>
    <w:rsid w:val="5327529D"/>
    <w:rsid w:val="53290BFD"/>
    <w:rsid w:val="53293966"/>
    <w:rsid w:val="532C389F"/>
    <w:rsid w:val="532F6301"/>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136F7"/>
    <w:rsid w:val="54E95643"/>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AB1B1D"/>
    <w:rsid w:val="55B403DD"/>
    <w:rsid w:val="55B511EE"/>
    <w:rsid w:val="55B85433"/>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73380"/>
    <w:rsid w:val="563B616D"/>
    <w:rsid w:val="56436207"/>
    <w:rsid w:val="56456373"/>
    <w:rsid w:val="5655420D"/>
    <w:rsid w:val="565B61BB"/>
    <w:rsid w:val="566510CB"/>
    <w:rsid w:val="56655663"/>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267EF0"/>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F82FCA"/>
    <w:rsid w:val="5AF8657A"/>
    <w:rsid w:val="5AFE5C3F"/>
    <w:rsid w:val="5B000850"/>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D780A"/>
    <w:rsid w:val="622E2CF4"/>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AD7A1B"/>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C6E17"/>
    <w:rsid w:val="65BD3777"/>
    <w:rsid w:val="65BE5ECC"/>
    <w:rsid w:val="65CB53A1"/>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D102D"/>
    <w:rsid w:val="66953491"/>
    <w:rsid w:val="66980BF6"/>
    <w:rsid w:val="66A56CDB"/>
    <w:rsid w:val="66AD65FC"/>
    <w:rsid w:val="66B81454"/>
    <w:rsid w:val="66BE1292"/>
    <w:rsid w:val="66BF76F1"/>
    <w:rsid w:val="66D553C4"/>
    <w:rsid w:val="66D61A8D"/>
    <w:rsid w:val="66DA3497"/>
    <w:rsid w:val="66DC5BF8"/>
    <w:rsid w:val="66DE3D71"/>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F3842"/>
    <w:rsid w:val="69731101"/>
    <w:rsid w:val="6974083C"/>
    <w:rsid w:val="697D087B"/>
    <w:rsid w:val="697D2094"/>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442E2D"/>
    <w:rsid w:val="6C4B106D"/>
    <w:rsid w:val="6C505966"/>
    <w:rsid w:val="6C5D04BB"/>
    <w:rsid w:val="6C666C3C"/>
    <w:rsid w:val="6C6833E1"/>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2138A"/>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92039"/>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91094"/>
    <w:rsid w:val="70DB76EF"/>
    <w:rsid w:val="70E47264"/>
    <w:rsid w:val="70F04773"/>
    <w:rsid w:val="710524E2"/>
    <w:rsid w:val="710B03C6"/>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B153BA"/>
    <w:rsid w:val="76BE7B18"/>
    <w:rsid w:val="76C72CA0"/>
    <w:rsid w:val="76D36D32"/>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6474D"/>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4D74"/>
    <w:rsid w:val="79501475"/>
    <w:rsid w:val="79524043"/>
    <w:rsid w:val="795A5499"/>
    <w:rsid w:val="796B650F"/>
    <w:rsid w:val="796E35F2"/>
    <w:rsid w:val="7971290E"/>
    <w:rsid w:val="79762768"/>
    <w:rsid w:val="797951A9"/>
    <w:rsid w:val="798B7390"/>
    <w:rsid w:val="7990174F"/>
    <w:rsid w:val="79A15149"/>
    <w:rsid w:val="79A37CCA"/>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A258A"/>
    <w:rsid w:val="7A262C2D"/>
    <w:rsid w:val="7A291938"/>
    <w:rsid w:val="7A3D7CC0"/>
    <w:rsid w:val="7A4006D3"/>
    <w:rsid w:val="7A4D07BA"/>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9422CC"/>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C55F3"/>
    <w:rsid w:val="7E202566"/>
    <w:rsid w:val="7E222965"/>
    <w:rsid w:val="7E2E7D3F"/>
    <w:rsid w:val="7E330B2F"/>
    <w:rsid w:val="7E347694"/>
    <w:rsid w:val="7E3B5911"/>
    <w:rsid w:val="7E495416"/>
    <w:rsid w:val="7E497873"/>
    <w:rsid w:val="7E4E6A22"/>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6DE1"/>
    <w:rsid w:val="7F6339F7"/>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2022-08-10T15:30:38Z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